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1050"/>
        <w:gridCol w:w="525"/>
        <w:gridCol w:w="263"/>
        <w:gridCol w:w="263"/>
        <w:gridCol w:w="525"/>
        <w:gridCol w:w="525"/>
        <w:gridCol w:w="1050"/>
        <w:gridCol w:w="525"/>
        <w:gridCol w:w="1365"/>
        <w:gridCol w:w="1365"/>
        <w:gridCol w:w="1365"/>
        <w:gridCol w:w="1365"/>
        <w:gridCol w:w="1365"/>
        <w:gridCol w:w="1365"/>
        <w:gridCol w:w="1365"/>
        <w:gridCol w:w="1365"/>
        <w:gridCol w:w="0"/>
      </w:tblGrid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АКТИВ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7 503 046,68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7 503 046,68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-1"/>
            </w:pPr>
            <w:r>
              <w:t>ПАССИВ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0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2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7 503 046,68</w:t>
            </w:r>
          </w:p>
        </w:tc>
        <w:tc>
          <w:tcPr>
            <w:tcW w:w="1365" w:type="dxa"/>
            <w:vAlign w:val="top"/>
            <w:shd w:val="clear" w:color="FFFFFF" w:fill="#fffc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1"/>
            </w:pPr>
            <w:r>
              <w:t>0,00</w:t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3"/>
            </w:pPr>
            <w:r>
              <w:t>7 503 046,68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left"/>
            </w:pPr>
          </w:tcPr>
          <w:p>
            <w:pPr>
              <w:pStyle w:val="1CStyle4"/>
            </w:pPr>
            <w:r>
              <w:t>ОТКЛОНЕНИЕ</w:t>
            </w:r>
          </w:p>
        </w:tc>
        <w:tc>
          <w:tcPr>
            <w:tcW w:w="525" w:type="dxa"/>
            <w:vAlign w:val="top"/>
            <w:shd w:val="clear" w:color="FFFFFF" w:fill="#fffbf0"/>
            <w:tcBorders>
              <w:left w:val="single" w:sz="5" w:space="0" w:color="#b3ac86"/>
              <w:bottom w:val="single" w:sz="5" w:space="0" w:color="#b3ac86"/>
            </w:tcBorders>
            <w:pPr>
              <w:jc w:val="center"/>
            </w:pPr>
          </w:tcPr>
          <w:p>
            <w:pPr>
              <w:pStyle w:val="1CStyle5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</w:tcBorders>
            <w:pPr>
              <w:jc w:val="right"/>
            </w:pPr>
          </w:tcPr>
          <w:p>
            <w:pPr>
              <w:pStyle w:val="1CStyle6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dfebd8"/>
            <w:tcBorders>
              <w:left w:val="single" w:sz="5" w:space="0" w:color="#b3ac86"/>
              <w:bottom w:val="single" w:sz="5" w:space="0" w:color="#b3ac86"/>
              <w:right w:val="single" w:sz="5" w:space="0" w:color="#b3ac86"/>
            </w:tcBorders>
            <w:pPr>
              <w:jc w:val="right"/>
            </w:pPr>
          </w:tcPr>
          <w:p>
            <w:pPr>
              <w:pStyle w:val="1CStyle7"/>
            </w:pPr>
            <w:r>
              <w:t/>
            </w:r>
          </w:p>
        </w:tc>
      </w:tr>
      <w:tr>
        <w:trPr>
          <w:trHeight w:val="100" w:hRule="exact"/>
        </w:trP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9"/>
            </w:pPr>
            <w:r>
              <w:t/>
            </w:r>
          </w:p>
        </w:tc>
        <w:tc>
          <w:tcPr>
            <w:gridSpan w:val="9"/>
            <w:tcW w:w="11445" w:type="dxa"/>
            <w:vAlign w:val="top"/>
            <w:shd w:val="clear" w:color="FFFFFF" w:fill="auto"/>
            <w:pPr>
              <w:jc w:val="right"/>
            </w:pPr>
          </w:tcPr>
          <w:p>
            <w:pPr>
              <w:pStyle w:val="1CStyle10"/>
            </w:pPr>
            <w:r>
              <w:t>Утв. Приказом Минфина РФ от 25 марта 2011 г. № 33н</w:t>
            </w:r>
          </w:p>
        </w:tc>
      </w:tr>
      <w:tr>
        <w:tc>
          <w:tcPr>
            <w:gridSpan w:val="15"/>
            <w:tcW w:w="14281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11"/>
            </w:pPr>
            <w:r>
              <w:t>БАЛАНС </w:t>
              <w:br/>
              <w:t>
ГОСУДАРСТВЕННОГО (МУНИЦИПАЛЬНОГО) УЧРЕЖДЕНИЯ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2"/>
            </w:pPr>
            <w:r>
              <w:t>КОДЫ</w:t>
            </w:r>
          </w:p>
        </w:tc>
      </w:tr>
      <w:tr>
        <w:tc>
          <w:tcPr>
            <w:gridSpan w:val="15"/>
            <w:tcW w:w="1428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3"/>
            </w:pPr>
            <w:r>
              <w:t>Форма по ОКУД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4"/>
            </w:pPr>
            <w:r>
              <w:t>0503730</w:t>
            </w:r>
          </w:p>
        </w:tc>
      </w:tr>
      <w:tr>
        <w:tc>
          <w:tcPr>
            <w:gridSpan w:val="9"/>
            <w:tcW w:w="6091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5"/>
            </w:pPr>
            <w:r>
              <w:t>на</w:t>
            </w:r>
          </w:p>
        </w:tc>
        <w:tc>
          <w:tcPr>
            <w:gridSpan w:val="2"/>
            <w:tcW w:w="2730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16"/>
            </w:pPr>
            <w:r>
              <w:t>«01» января 2015 г.</w:t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Дата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19"/>
            </w:pPr>
            <w:r>
              <w:t>01.01.2015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0"/>
            </w:pPr>
            <w:r>
              <w:t>Учреждение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ГБОУ СПО МКЖТ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ОКПО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>02501545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3"/>
            </w:pPr>
            <w:r>
              <w:t>Обособленное подразделение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2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6"/>
            </w:pPr>
            <w:r>
              <w:t/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27"/>
            </w:pPr>
            <w:r>
              <w:t>Учредитель</w:t>
            </w:r>
          </w:p>
        </w:tc>
        <w:tc>
          <w:tcPr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ОКАТО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2"/>
            </w:pPr>
            <w:r>
              <w:t>07400000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28"/>
            </w:pPr>
            <w:r>
              <w:t>Наименование органа, осуществля-</w:t>
            </w:r>
          </w:p>
        </w:tc>
        <w:tc>
          <w:tcPr>
            <w:vMerge w:val="restart"/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ОКПО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00087700</w:t>
            </w:r>
          </w:p>
        </w:tc>
      </w:tr>
      <w:tr>
        <w:tc>
          <w:tcPr>
            <w:gridSpan w:val="6"/>
            <w:tcW w:w="3151" w:type="dxa"/>
            <w:vAlign w:val="bottom"/>
            <w:shd w:val="clear" w:color="FFFFFF" w:fill="auto"/>
            <w:tcBorders>
              <w:bottom w:val="none" w:sz="5" w:space="0" w:color="auto"/>
            </w:tcBorders>
            <w:pPr>
              <w:jc w:val="left"/>
            </w:pPr>
          </w:tcPr>
          <w:p>
            <w:pPr>
              <w:pStyle w:val="1CStyle30"/>
            </w:pPr>
            <w:r>
              <w:t>ющего полномочия учредителя</w:t>
            </w:r>
          </w:p>
        </w:tc>
        <w:tc>
          <w:tcPr>
            <w:vMerge w:val="continue"/>
            <w:gridSpan w:val="8"/>
            <w:tcW w:w="9765" w:type="dxa"/>
            <w:vAlign w:val="bottom"/>
            <w:shd w:val="clear" w:color="FFFFFF" w:fill="#d5eeff"/>
            <w:tcBorders>
              <w:bottom w:val="single" w:sz="5" w:space="0" w:color="auto"/>
            </w:tcBorders>
            <w:pPr>
              <w:jc w:val="left"/>
            </w:pPr>
          </w:tcPr>
          <w:p>
            <w:pPr>
              <w:pStyle w:val="1CStyle21"/>
            </w:pPr>
            <w:r>
              <w:t>Министерство образования и молодежной политики Ставропольского края</w:t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31"/>
            </w:pPr>
            <w:r>
              <w:t>Глава по БК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29"/>
            </w:pPr>
            <w:r>
              <w:t>075</w:t>
            </w:r>
          </w:p>
        </w:tc>
      </w:tr>
      <w:tr>
        <w:tc>
          <w:tcPr>
            <w:gridSpan w:val="11"/>
            <w:tcW w:w="882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2"/>
            </w:pPr>
            <w:r>
              <w:t>Периодичность: годовая</w:t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6"/>
            </w:pPr>
            <w:r>
              <w:t/>
            </w:r>
          </w:p>
        </w:tc>
      </w:tr>
      <w:tr>
        <w:tc>
          <w:tcPr>
            <w:gridSpan w:val="3"/>
            <w:tcW w:w="1838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2"/>
            </w:pPr>
            <w:r>
              <w:t>Единица измерения:</w:t>
            </w:r>
          </w:p>
        </w:tc>
        <w:tc>
          <w:tcPr>
            <w:gridSpan w:val="2"/>
            <w:tcW w:w="788" w:type="dxa"/>
            <w:vAlign w:val="bottom"/>
            <w:shd w:val="clear" w:color="FFFFFF" w:fill="#d5eeff"/>
            <w:pPr>
              <w:jc w:val="left"/>
            </w:pPr>
          </w:tcPr>
          <w:p>
            <w:pPr>
              <w:pStyle w:val="1CStyle37"/>
            </w:pPr>
            <w:r>
              <w:t>руб.</w:t>
            </w:r>
          </w:p>
        </w:tc>
        <w:tc>
          <w:tcPr>
            <w:gridSpan w:val="2"/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8"/>
            </w:pPr>
            <w:r>
              <w:t/>
            </w:r>
          </w:p>
        </w:tc>
        <w:tc>
          <w:tcPr>
            <w:gridSpan w:val="2"/>
            <w:tcW w:w="189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3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18"/>
            </w:pPr>
            <w:r>
              <w:t>по ОКЕИ   </w:t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39"/>
            </w:pPr>
            <w:r>
              <w:t>383</w:t>
            </w:r>
          </w:p>
        </w:tc>
      </w:tr>
      <w:tr>
        <w:tc>
          <w:tcPr>
            <w:gridSpan w:val="4"/>
            <w:tcW w:w="2101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0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1"/>
            </w:pPr>
            <w:r>
              <w:t/>
            </w:r>
          </w:p>
        </w:tc>
        <w:tc>
          <w:tcPr>
            <w:tcW w:w="52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2"/>
            </w:pPr>
            <w:r>
              <w:t/>
            </w:r>
          </w:p>
        </w:tc>
        <w:tc>
          <w:tcPr>
            <w:gridSpan w:val="2"/>
            <w:tcW w:w="157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gridSpan w:val="2"/>
            <w:tcW w:w="2730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4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43"/>
            </w:pPr>
            <w:r>
              <w:t/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8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49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</w:tcBorders>
            <w:pPr>
              <w:jc w:val="center"/>
            </w:pPr>
          </w:tcPr>
          <w:p>
            <w:pPr>
              <w:pStyle w:val="1CStyle54"/>
            </w:pPr>
            <w:r>
              <w:t>I. Нефинансовые активы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top w:val="single" w:sz="10" w:space="0" w:color="auto"/>
              <w:left w:val="single" w:sz="10" w:space="0" w:color="auto"/>
            </w:tcBorders>
            <w:pPr>
              <w:jc w:val="center"/>
            </w:pPr>
          </w:tcPr>
          <w:p>
            <w:pPr>
              <w:pStyle w:val="1CStyle55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</w:tcBorders>
            <w:pPr>
              <w:jc w:val="center"/>
            </w:pPr>
          </w:tcPr>
          <w:p>
            <w:pPr>
              <w:pStyle w:val="1CStyle56"/>
            </w:pPr>
            <w:r>
              <w:t/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pPr>
              <w:jc w:val="center"/>
            </w:pPr>
          </w:tcPr>
          <w:p>
            <w:pPr>
              <w:pStyle w:val="1CStyle5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Основные средства (балансовая стоимость, 010100000)*,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39 112 327,18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39 112 327,18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46 521 013,18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46 521 013,18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(010110000)*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21 220 333,00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21 220 333,00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21 220 333,00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21 220 333,00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(010120000)*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10 398 744,33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10 398 744,33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10 398 744,33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10 398 744,33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(010130000)*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7 493 249,85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7 493 249,85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14 901 935,85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14 901 935,85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(010140000)*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Амортизация основных средств*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24 354 608,08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24 354 608,08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27 641 161,64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27 641 161,64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недвижимого имущества учреждения (010410000)*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13 412 118,55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13 412 118,55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13 608 010,63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13 608 010,63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особо ценного движимого имущества учреждения (010420000)*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4 498 388,22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4 498 388,22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6 308 908,01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6 308 908,01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иного движимого имущества учреждения (010430000)*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6 444 101,31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6 444 101,31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7 724 243,00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7 724 243,00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амортизация предметов лизинга (010440000)*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14 757 719,10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14 757 719,10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18 879 851,54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18 879 851,54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7 808 214,45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7 808 214,45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7 612 322,37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7 612 322,37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5 900 356,11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5 900 356,11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4 089 836,32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4 089 836,32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1 049 148,54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1 049 148,54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7 177 692,85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7 177 692,85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(остаточная стоимость, стр.014 -  стр.024)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034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 0503730, с. 2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3"/>
            <w:tcW w:w="4095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69"/>
            </w:pPr>
            <w:r>
              <w:t/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(010220000)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(010230000)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042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rPr>
          <w:trHeight w:val="225" w:hRule="exact"/>
        </w:trP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2"/>
            </w:pPr>
            <w:r>
              <w:t>предметы лизинга  (010240000)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3"/>
            </w:pPr>
            <w:r>
              <w:t>043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75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77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Амортизация нематериальных активов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ценного движимого имущества учреждения (010429000)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иного движимого имущества учреждения (010439000)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предметов лизинга  (010449000) 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053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имущество учреждения (остаточная стоимость, стр. 041 -  стр.051)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061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(остаточная стоимость, стр. 043 -  стр.053)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063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Непроизведенные активы (балансовая стоимость, 010300000)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070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21 472 859,37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21 472 859,37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Материальные запасы (010500000)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080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1 171 711,25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1 171 711,25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1 172 100,59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1 172 100,59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top"/>
            <w:shd w:val="clear" w:color="FFFFFF" w:fill="#ffffff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64"/>
            </w:pPr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движимое имущество учреждения (010520000)*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081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Вложения в нефинансовые активы (010600000)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недвижимое имущество учреждения (010610000)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особо ценное движимое имущество учреждения (010620000)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иное движимое имущество учреждения (010630000)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093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предметы лизинга (010640000)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094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 0503730, с. 3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Нефинансовые активы в пути (010700000)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6"/>
            </w:pPr>
            <w:r>
              <w:t>100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7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7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7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7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7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8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недвижимое имущество учреждения в пути (010710000)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101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особо ценное имущество учреждения в пути (010720000)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102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иное движимое имущество учреждения в пути (010730000)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9"/>
            </w:pPr>
            <w:r>
              <w:t>103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предметы лизинга в пути (010740000)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9"/>
            </w:pPr>
            <w:r>
              <w:t>104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9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9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3"/>
            </w:pPr>
            <w: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140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>Итого по разделу 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(стр.030 + стр.060 + стр.070 + стр.080 + стр.090 + стр.100 + стр. 140)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150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15 929 430,35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15 929 430,35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41 524 811,50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41 524 811,50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99"/>
            </w:pPr>
            <w:r>
              <w:t>II. Финансовые активы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Денежные средства учреждения (020100000)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3 015 913,99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3 015 913,99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37 769,10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37 769,10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3 015 913,99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3 015 913,99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37 769,10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37 769,10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аккредитивы на счетах учреждения в кредитной организации (020126000)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касса (020134000)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документы (020135000)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178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179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Финансовые вложения (020400000)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ценные бумаги, кроме акций  (020420000)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акции и иные формы участия в капитале (020430000)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иные финансовые активы (020450000)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213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с.4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А К Т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доходам (020500000)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230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-223 899,86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-223 899,86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-884 515,86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-884 515,86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выданным авансам (020600000)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260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461,01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461,01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кредитам, займам (ссудам) (020700000)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представленным кредитам, займам (ссудам) (020710000)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292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с подотчетными лицами (020800000)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310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0,09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0,09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4"/>
            </w:pPr>
            <w:r>
              <w:t>Расчеты по ущербу имуществу (020900000)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320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Прочие расчеты с дебиторами (021000000)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-13 708 570,56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-13 708 570,56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-33 175 018,06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-33 175 018,06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НДС по приобретенным материальным ценностям, работам, услугам (021001000)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>расчеты с прочими дебиторами (021005000)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>расчеты с учредителем (021006000)*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-31 619 077,33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-31 619 077,33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-53 091 936,70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-53 091 936,70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>показатель уменьшения балансовой стоимости ОЦИ*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17 910 506,77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17 910 506,77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19 916 918,64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19 916 918,64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>чистая стоимость ОЦИ (стр. 336+стр.337)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338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-13 708 570,56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-13 708 570,56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-33 175 018,06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-33 175 018,06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Вложения в финансовые активы (021500000)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ценные бумаги, кроме акций  (021520000)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акции и иные формы участия в капитале (021530000)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иные финансовые активы (021550000)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373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>Итого по разделу 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 (стр.170  + стр.210 + стр.230 + стр.260 + стр.290 + стр.310 + стр.320 + стр. 330 + стр.370)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-10 916 095,33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-10 916 095,33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-34 021 764,82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-34 021 764,82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(стр. 150 + стр. 400)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410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7 503 046,68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7 503 046,68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 5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</w:tcBorders>
            <w:pPr>
              <w:jc w:val="center"/>
            </w:pPr>
          </w:tcPr>
          <w:p>
            <w:pPr>
              <w:pStyle w:val="1CStyle10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10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III. Обязательства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в том числе: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в рублях (030110000)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по долговым обязательствам в иностранной валюте (030140000)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474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принятым обязательствам (030200000)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490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481 559,67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481 559,67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447 243,83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447 243,83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Расчеты по платежам в бюджеты (030300000)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-14 203,53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-14 203,53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-63 001,99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-63 001,99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доходы физических лиц (030301000)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511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-109 245,53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-109 245,53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-97 317,27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-97 317,27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прибыль организаций (030303000)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налогу на добавленную стоимость (030304000)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прочим платежам в бюджет (030305000, 030312000, 030313000)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515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95 042,00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95 042,00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34 315,28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34 315,28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516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3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left w:val="none" w:sz="5" w:space="0" w:color="auto"/>
            </w:tcBorders>
            <w:pPr>
              <w:jc w:val="left"/>
            </w:pPr>
          </w:tcPr>
          <w:p>
            <w:pPr>
              <w:pStyle w:val="1CStyle67"/>
            </w:pPr>
            <w:r>
              <w:t/>
            </w:r>
          </w:p>
        </w:tc>
        <w:tc>
          <w:tcPr>
            <w:gridSpan w:val="9"/>
            <w:tcW w:w="11445" w:type="dxa"/>
            <w:vAlign w:val="bottom"/>
            <w:shd w:val="clear" w:color="FFFFFF" w:fill="auto"/>
            <w:pPr>
              <w:jc w:val="right"/>
            </w:pPr>
          </w:tcPr>
          <w:p>
            <w:pPr>
              <w:pStyle w:val="1CStyle68"/>
            </w:pPr>
            <w:r>
              <w:t>Форма 0503730, с. 6</w:t>
            </w:r>
          </w:p>
        </w:tc>
      </w:tr>
      <w:tr>
        <w:tc>
          <w:tcPr>
            <w:vMerge w:val="restart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restart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начало года</w:t>
            </w:r>
          </w:p>
        </w:tc>
        <w:tc>
          <w:tcPr>
            <w:gridSpan w:val="4"/>
            <w:tcW w:w="5460" w:type="dxa"/>
            <w:vAlign w:val="center"/>
            <w:shd w:val="clear" w:color="FFFFFF" w:fill="#ffffff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7"/>
            </w:pPr>
            <w:r>
              <w:t>На конец отчетного периода</w:t>
            </w:r>
          </w:p>
        </w:tc>
      </w:tr>
      <w:tr>
        <w:tc>
          <w:tcPr>
            <w:vMerge w:val="continue"/>
            <w:gridSpan w:val="7"/>
            <w:tcW w:w="4201" w:type="dxa"/>
            <w:vAlign w:val="center"/>
            <w:shd w:val="clear" w:color="FFFFFF" w:fill="#ffffff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45"/>
            </w:pPr>
            <w:r>
              <w:t>П А С С И В</w:t>
            </w:r>
          </w:p>
        </w:tc>
        <w:tc>
          <w:tcPr>
            <w:vMerge w:val="continue"/>
            <w:tcW w:w="525" w:type="dxa"/>
            <w:vAlign w:val="center"/>
            <w:shd w:val="clear" w:color="FFFFFF" w:fill="auto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46"/>
            </w:pPr>
            <w:r>
              <w:t>Код стро-</w:t>
              <w:br/>
              <w:t>
ки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итого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с целевыми средствами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деятельность по оказанию услуг (работ)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70"/>
            </w:pPr>
            <w:r>
              <w:t>средства во временном распоряжении</w:t>
            </w:r>
          </w:p>
        </w:tc>
        <w:tc>
          <w:tcPr>
            <w:tcW w:w="1365" w:type="dxa"/>
            <w:vAlign w:val="center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71"/>
            </w:pPr>
            <w:r>
              <w:t>итого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left w:val="non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0"/>
            </w:pPr>
            <w:r>
              <w:t>1</w:t>
            </w:r>
          </w:p>
        </w:tc>
        <w:tc>
          <w:tcPr>
            <w:tcW w:w="52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1"/>
            </w:pPr>
            <w:r>
              <w:t>2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3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4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5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6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7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8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</w:tcBorders>
            <w:pPr>
              <w:jc w:val="center"/>
            </w:pPr>
          </w:tcPr>
          <w:p>
            <w:pPr>
              <w:pStyle w:val="1CStyle52"/>
            </w:pPr>
            <w:r>
              <w:t>9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pPr>
              <w:jc w:val="center"/>
            </w:pPr>
          </w:tcPr>
          <w:p>
            <w:pPr>
              <w:pStyle w:val="1CStyle53"/>
            </w:pPr>
            <w:r>
              <w:t>10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58"/>
            </w:pPr>
            <w:r>
              <w:t>Прочие расчеты с кредиторами (030400000)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8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79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80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531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×</w:t>
            </w:r>
          </w:p>
        </w:tc>
        <w:tc>
          <w:tcPr>
            <w:tcW w:w="1365" w:type="dxa"/>
            <w:vAlign w:val="center"/>
            <w:shd w:val="clear" w:color="FFFFFF" w:fill="auto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8"/>
            </w:pPr>
            <w:r>
              <w:t>×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с депонентами (030402000)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532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расчеты по удержаниям из выплат по оплате труда (030403000)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внутриведомственные расчеты (030404000)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534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5"/>
            </w:pPr>
            <w:r>
              <w:t>расчеты с прочими кредиторами (030406000)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9"/>
            </w:pPr>
            <w:r>
              <w:t>536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2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11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113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4"/>
            </w:pPr>
            <w:r>
              <w:t>Итого по разделу III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 (стр.470+ стр.490 + стр. 510 + стр.530)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600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467 356,14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467 356,14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384 241,84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384 241,84</w:t>
            </w:r>
          </w:p>
        </w:tc>
      </w:tr>
      <w:tr>
        <w:tc>
          <w:tcPr>
            <w:gridSpan w:val="7"/>
            <w:tcW w:w="4201" w:type="dxa"/>
            <w:vAlign w:val="center"/>
            <w:shd w:val="clear" w:color="FFFFFF" w:fill="auto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107"/>
            </w:pPr>
            <w:r>
              <w:t>IV. Финансовый результат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8"/>
            </w:pPr>
            <w:r>
              <w:t>Финансовый результат хозяйствующего субъекта (040100000) (стр. 623+ стр. 623¹ + стр. 624+ стр. 625)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4 545 978,88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4 545 978,88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7 118 804,84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7 118 804,84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3"/>
            </w:pPr>
            <w:r>
              <w:t>из них: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1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11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финансовый результат прошлых отчетных периодов (040130000)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623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-13 364 527,89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-13 364 527,89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-12 798 113,80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-12 798 113,80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0"/>
            </w:pPr>
            <w:r>
              <w:t>финансовый результат по начисленной амортизации ОЦИ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623¹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17 910 506,77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17 910 506,77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19 916 918,64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19 916 918,64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доходы будущих периодов (040140000)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624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65"/>
            </w:pPr>
            <w:r>
              <w:t>расходы будущих периодов (040150000)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59"/>
            </w:pPr>
            <w:r>
              <w:t>625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0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6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ffffff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61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62"/>
            </w:pPr>
            <w:r>
              <w:t>−</w:t>
            </w:r>
          </w:p>
        </w:tc>
      </w:tr>
      <w:tr>
        <w:tc>
          <w:tcPr>
            <w:gridSpan w:val="7"/>
            <w:tcW w:w="4201" w:type="dxa"/>
            <w:vAlign w:val="bottom"/>
            <w:shd w:val="clear" w:color="FFFFFF" w:fill="auto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4"/>
            </w:pPr>
            <w:r>
              <w:t>БАЛАНС</w:t>
            </w:r>
          </w:p>
        </w:tc>
        <w:tc>
          <w:tcPr>
            <w:tcW w:w="525" w:type="dxa"/>
            <w:vAlign w:val="bottom"/>
            <w:shd w:val="clear" w:color="FFFFFF" w:fill="auto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5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96"/>
            </w:pPr>
            <w:r>
              <w:t/>
            </w:r>
          </w:p>
        </w:tc>
        <w:tc>
          <w:tcPr>
            <w:tcW w:w="1365" w:type="dxa"/>
            <w:vAlign w:val="bottom"/>
            <w:shd w:val="clear" w:color="FFFFFF" w:fill="auto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pPr>
              <w:jc w:val="left"/>
            </w:pPr>
          </w:tcPr>
          <w:p>
            <w:pPr>
              <w:pStyle w:val="1CStyle97"/>
            </w:pPr>
            <w:r>
              <w:t/>
            </w:r>
          </w:p>
        </w:tc>
      </w:tr>
      <w:tr>
        <w:tc>
          <w:tcPr>
            <w:gridSpan w:val="7"/>
            <w:tcW w:w="4201" w:type="dxa"/>
            <w:vAlign w:val="top"/>
            <w:shd w:val="clear" w:color="FFFFFF" w:fill="#ffffff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pPr>
              <w:jc w:val="left"/>
            </w:pPr>
          </w:tcPr>
          <w:p>
            <w:pPr>
              <w:pStyle w:val="1CStyle106"/>
            </w:pPr>
            <w:r>
              <w:t>(стр. 600 + стр. 620)</w:t>
            </w:r>
          </w:p>
        </w:tc>
        <w:tc>
          <w:tcPr>
            <w:tcW w:w="525" w:type="dxa"/>
            <w:vAlign w:val="top"/>
            <w:shd w:val="clear" w:color="FFFFFF" w:fill="auto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pPr>
              <w:jc w:val="center"/>
            </w:pPr>
          </w:tcPr>
          <w:p>
            <w:pPr>
              <w:pStyle w:val="1CStyle81"/>
            </w:pPr>
            <w:r>
              <w:t>900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5 013 335,02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7 503 046,68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pPr>
              <w:jc w:val="right"/>
            </w:pPr>
          </w:tcPr>
          <w:p>
            <w:pPr>
              <w:pStyle w:val="1CStyle84"/>
            </w:pPr>
            <w:r>
              <w:t>−</w:t>
            </w:r>
          </w:p>
        </w:tc>
        <w:tc>
          <w:tcPr>
            <w:tcW w:w="1365" w:type="dxa"/>
            <w:vAlign w:val="top"/>
            <w:shd w:val="clear" w:color="FFFFFF" w:fill="#c0dcc0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pPr>
              <w:jc w:val="right"/>
            </w:pPr>
          </w:tcPr>
          <w:p>
            <w:pPr>
              <w:pStyle w:val="1CStyle85"/>
            </w:pPr>
            <w:r>
              <w:t>7 503 046,68</w:t>
            </w:r>
          </w:p>
        </w:tc>
      </w:tr>
      <w:tr>
        <w:tc>
          <w:tcPr>
            <w:gridSpan w:val="16"/>
            <w:tcW w:w="1564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9"/>
            </w:pPr>
            <w:r>
              <w:t/>
            </w:r>
          </w:p>
        </w:tc>
      </w:tr>
      <w:tr>
        <w:tc>
          <w:tcPr>
            <w:gridSpan w:val="8"/>
            <w:tcW w:w="4726" w:type="dxa"/>
            <w:vAlign w:val="bottom"/>
            <w:shd w:val="clear" w:color="FFFFFF" w:fill="auto"/>
            <w:pPr>
              <w:jc w:val="left"/>
            </w:pPr>
          </w:tcPr>
          <w:p>
            <w:pPr>
              <w:pStyle w:val="1CStyle118"/>
            </w:pPr>
            <w:r>
              <w:t>&lt;*&gt; Данные по этим строкам в валюту баланса не входят.</w:t>
            </w:r>
          </w:p>
        </w:tc>
        <w:tc>
          <w:tcPr>
            <w:gridSpan w:val="8"/>
            <w:tcW w:w="10920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78">
    <w:name w:val="1CStyle78"/>
    <w:basedOn w:val="Normal"/>
    <w:pPr>
      <w:jc w:val="center"/>
      <w:rPr>
        <w:rFonts w:ascii="Arial" w:hAnsi="Arial"/>
        <w:sz w:val="14"/>
      </w:rPr>
    </w:pPr>
  </w:style>
  <w:style w:type="paragraph" w:styleId="1CStyle115">
    <w:name w:val="1CStyle115"/>
    <w:basedOn w:val="Normal"/>
    <w:pPr>
      <w:jc w:val="center"/>
      <w:rPr>
        <w:rFonts w:ascii="Arial" w:hAnsi="Arial"/>
        <w:b/>
        <w:sz w:val="18"/>
      </w:rPr>
    </w:pPr>
  </w:style>
  <w:style w:type="paragraph" w:styleId="1CStyle95">
    <w:name w:val="1CStyle95"/>
    <w:basedOn w:val="Normal"/>
    <w:pPr>
      <w:jc w:val="center"/>
      <w:rPr>
        <w:rFonts w:ascii="Arial" w:hAnsi="Arial"/>
        <w:b/>
        <w:sz w:val="18"/>
      </w:rPr>
    </w:pPr>
  </w:style>
  <w:style w:type="paragraph" w:styleId="1CStyle79">
    <w:name w:val="1CStyle79"/>
    <w:basedOn w:val="Normal"/>
    <w:pPr>
      <w:jc w:val="center"/>
      <w:rPr>
        <w:rFonts w:ascii="Arial" w:hAnsi="Arial"/>
        <w:sz w:val="14"/>
      </w:rPr>
    </w:pPr>
  </w:style>
  <w:style w:type="paragraph" w:styleId="1CStyle80">
    <w:name w:val="1CStyle80"/>
    <w:basedOn w:val="Normal"/>
    <w:pPr>
      <w:jc w:val="center"/>
      <w:rPr>
        <w:rFonts w:ascii="Arial" w:hAnsi="Arial"/>
        <w:sz w:val="14"/>
      </w:rPr>
    </w:pPr>
  </w:style>
  <w:style w:type="paragraph" w:styleId="1CStyle116">
    <w:name w:val="1CStyle116"/>
    <w:basedOn w:val="Normal"/>
    <w:pPr>
      <w:jc w:val="center"/>
      <w:rPr>
        <w:rFonts w:ascii="Arial" w:hAnsi="Arial"/>
        <w:b/>
        <w:sz w:val="18"/>
      </w:rPr>
    </w:pPr>
  </w:style>
  <w:style w:type="paragraph" w:styleId="1CStyle117">
    <w:name w:val="1CStyle117"/>
    <w:basedOn w:val="Normal"/>
    <w:pPr>
      <w:jc w:val="center"/>
      <w:rPr>
        <w:rFonts w:ascii="Arial" w:hAnsi="Arial"/>
        <w:b/>
        <w:sz w:val="18"/>
      </w:rPr>
    </w:pPr>
  </w:style>
  <w:style w:type="paragraph" w:styleId="1CStyle96">
    <w:name w:val="1CStyle96"/>
    <w:basedOn w:val="Normal"/>
    <w:pPr>
      <w:jc w:val="center"/>
      <w:rPr>
        <w:rFonts w:ascii="Arial" w:hAnsi="Arial"/>
        <w:b/>
        <w:sz w:val="18"/>
      </w:rPr>
    </w:pPr>
  </w:style>
  <w:style w:type="paragraph" w:styleId="1CStyle97">
    <w:name w:val="1CStyle97"/>
    <w:basedOn w:val="Normal"/>
    <w:pPr>
      <w:jc w:val="center"/>
      <w:rPr>
        <w:rFonts w:ascii="Arial" w:hAnsi="Arial"/>
        <w:b/>
        <w:sz w:val="18"/>
      </w:rPr>
    </w:pPr>
  </w:style>
  <w:style w:type="paragraph" w:styleId="1CStyle68">
    <w:name w:val="1CStyle68"/>
    <w:basedOn w:val="Normal"/>
    <w:pPr>
      <w:jc w:val="right"/>
      <w:rPr>
        <w:rFonts w:ascii="Arial" w:hAnsi="Arial"/>
        <w:sz w:val="14"/>
      </w:rPr>
    </w:pPr>
  </w:style>
  <w:style w:type="paragraph" w:styleId="1CStyle10">
    <w:name w:val="1CStyle10"/>
    <w:basedOn w:val="Normal"/>
    <w:pPr>
      <w:jc w:val="right"/>
      <w:rPr>
        <w:rFonts w:ascii="Arial" w:hAnsi="Arial"/>
        <w:sz w:val="14"/>
      </w:rPr>
    </w:pPr>
  </w:style>
  <w:style w:type="paragraph" w:styleId="1CStyle55">
    <w:name w:val="1CStyle55"/>
    <w:basedOn w:val="Normal"/>
    <w:pPr>
      <w:jc w:val="center"/>
      <w:rPr>
        <w:rFonts w:ascii="Arial" w:hAnsi="Arial"/>
        <w:b/>
        <w:sz w:val="18"/>
      </w:rPr>
    </w:pPr>
  </w:style>
  <w:style w:type="paragraph" w:styleId="1CStyle56">
    <w:name w:val="1CStyle56"/>
    <w:basedOn w:val="Normal"/>
    <w:pPr>
      <w:jc w:val="center"/>
      <w:rPr>
        <w:rFonts w:ascii="Arial" w:hAnsi="Arial"/>
        <w:b/>
        <w:sz w:val="18"/>
      </w:rPr>
    </w:pPr>
  </w:style>
  <w:style w:type="paragraph" w:styleId="1CStyle57">
    <w:name w:val="1CStyle57"/>
    <w:basedOn w:val="Normal"/>
    <w:pPr>
      <w:jc w:val="center"/>
      <w:rPr>
        <w:rFonts w:ascii="Arial" w:hAnsi="Arial"/>
        <w:b/>
        <w:sz w:val="18"/>
      </w:rPr>
    </w:pPr>
  </w:style>
  <w:style w:type="paragraph" w:styleId="1CStyle51">
    <w:name w:val="1CStyle51"/>
    <w:basedOn w:val="Normal"/>
    <w:pPr>
      <w:jc w:val="center"/>
      <w:rPr>
        <w:rFonts w:ascii="Arial" w:hAnsi="Arial"/>
        <w:sz w:val="14"/>
      </w:rPr>
    </w:pPr>
  </w:style>
  <w:style w:type="paragraph" w:styleId="1CStyle101">
    <w:name w:val="1CStyle101"/>
    <w:basedOn w:val="Normal"/>
    <w:pPr>
      <w:jc w:val="center"/>
      <w:rPr>
        <w:rFonts w:ascii="Arial" w:hAnsi="Arial"/>
        <w:sz w:val="14"/>
      </w:rPr>
    </w:pPr>
  </w:style>
  <w:style w:type="paragraph" w:styleId="1CStyle52">
    <w:name w:val="1CStyle52"/>
    <w:basedOn w:val="Normal"/>
    <w:pPr>
      <w:jc w:val="center"/>
      <w:rPr>
        <w:rFonts w:ascii="Arial" w:hAnsi="Arial"/>
        <w:sz w:val="14"/>
      </w:rPr>
    </w:pPr>
  </w:style>
  <w:style w:type="paragraph" w:styleId="1CStyle102">
    <w:name w:val="1CStyle102"/>
    <w:basedOn w:val="Normal"/>
    <w:pPr>
      <w:jc w:val="center"/>
      <w:rPr>
        <w:rFonts w:ascii="Arial" w:hAnsi="Arial"/>
        <w:sz w:val="14"/>
      </w:rPr>
    </w:pPr>
  </w:style>
  <w:style w:type="paragraph" w:styleId="1CStyle53">
    <w:name w:val="1CStyle53"/>
    <w:basedOn w:val="Normal"/>
    <w:pPr>
      <w:jc w:val="center"/>
      <w:rPr>
        <w:rFonts w:ascii="Arial" w:hAnsi="Arial"/>
        <w:sz w:val="14"/>
      </w:rPr>
    </w:pPr>
  </w:style>
  <w:style w:type="paragraph" w:styleId="1CStyle103">
    <w:name w:val="1CStyle103"/>
    <w:basedOn w:val="Normal"/>
    <w:pPr>
      <w:jc w:val="center"/>
      <w:rPr>
        <w:rFonts w:ascii="Arial" w:hAnsi="Arial"/>
        <w:sz w:val="14"/>
      </w:rPr>
    </w:pPr>
  </w:style>
  <w:style w:type="paragraph" w:styleId="1CStyle89">
    <w:name w:val="1CStyle89"/>
    <w:basedOn w:val="Normal"/>
    <w:pPr>
      <w:jc w:val="center"/>
      <w:rPr/>
    </w:pPr>
  </w:style>
  <w:style w:type="paragraph" w:styleId="1CStyle59">
    <w:name w:val="1CStyle59"/>
    <w:basedOn w:val="Normal"/>
    <w:pPr>
      <w:jc w:val="center"/>
      <w:rPr/>
    </w:pPr>
  </w:style>
  <w:style w:type="paragraph" w:styleId="1CStyle81">
    <w:name w:val="1CStyle81"/>
    <w:basedOn w:val="Normal"/>
    <w:pPr>
      <w:jc w:val="center"/>
      <w:rPr/>
    </w:pPr>
  </w:style>
  <w:style w:type="paragraph" w:styleId="1CStyle86">
    <w:name w:val="1CStyle86"/>
    <w:basedOn w:val="Normal"/>
    <w:pPr>
      <w:jc w:val="center"/>
      <w:rPr/>
    </w:pPr>
  </w:style>
  <w:style w:type="paragraph" w:styleId="1CStyle109">
    <w:name w:val="1CStyle109"/>
    <w:basedOn w:val="Normal"/>
    <w:pPr>
      <w:jc w:val="center"/>
      <w:rPr>
        <w:rFonts w:ascii="Arial" w:hAnsi="Arial"/>
        <w:sz w:val="16"/>
      </w:rPr>
    </w:pPr>
  </w:style>
  <w:style w:type="paragraph" w:styleId="1CStyle108">
    <w:name w:val="1CStyle108"/>
    <w:basedOn w:val="Normal"/>
    <w:pPr>
      <w:jc w:val="center"/>
      <w:rPr>
        <w:rFonts w:ascii="Arial" w:hAnsi="Arial"/>
        <w:sz w:val="18"/>
      </w:rPr>
    </w:pPr>
  </w:style>
  <w:style w:type="paragraph" w:styleId="1CStyle73">
    <w:name w:val="1CStyle73"/>
    <w:basedOn w:val="Normal"/>
    <w:pPr>
      <w:jc w:val="center"/>
      <w:rPr/>
    </w:pPr>
  </w:style>
  <w:style w:type="paragraph" w:styleId="1CStyle64">
    <w:name w:val="1CStyle64"/>
    <w:basedOn w:val="Normal"/>
    <w:pPr>
      <w:jc w:val="center"/>
      <w:rPr/>
    </w:pPr>
  </w:style>
  <w:style w:type="paragraph" w:styleId="1CStyle0">
    <w:name w:val="1CStyle0"/>
    <w:basedOn w:val="Normal"/>
    <w:pPr>
      <w:jc w:val="center"/>
      <w:rPr/>
    </w:pPr>
  </w:style>
  <w:style w:type="paragraph" w:styleId="1CStyle5">
    <w:name w:val="1CStyle5"/>
    <w:basedOn w:val="Normal"/>
    <w:pPr>
      <w:jc w:val="center"/>
      <w:rPr>
        <w:rFonts w:ascii="Arial" w:hAnsi="Arial"/>
        <w:b/>
        <w:sz w:val="16"/>
      </w:rPr>
    </w:pPr>
  </w:style>
  <w:style w:type="paragraph" w:styleId="1CStyle118">
    <w:name w:val="1CStyle118"/>
    <w:basedOn w:val="Normal"/>
    <w:pPr>
      <w:wordWrap w:val="0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67">
    <w:name w:val="1CStyle67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114">
    <w:name w:val="1CStyle11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4">
    <w:name w:val="1CStyle9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54">
    <w:name w:val="1CStyle54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50">
    <w:name w:val="1CStyle50"/>
    <w:basedOn w:val="Normal"/>
    <w:pPr>
      <w:wordWrap w:val="1"/>
      <w:jc w:val="center"/>
      <w:rPr>
        <w:rFonts w:ascii="Arial" w:hAnsi="Arial"/>
        <w:sz w:val="14"/>
      </w:rPr>
    </w:pPr>
  </w:style>
  <w:style w:type="paragraph" w:styleId="1CStyle46">
    <w:name w:val="1CStyle46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107">
    <w:name w:val="1CStyle107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99">
    <w:name w:val="1CStyle99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-1">
    <w:name w:val="1CStyle-1"/>
    <w:basedOn w:val="Normal"/>
    <w:pPr>
      <w:wordWrap w:val="1"/>
      <w:jc w:val="center"/>
      <w:rPr/>
    </w:pPr>
  </w:style>
  <w:style w:type="paragraph" w:styleId="1CStyle4">
    <w:name w:val="1CStyle4"/>
    <w:basedOn w:val="Normal"/>
    <w:pPr>
      <w:wordWrap w:val="1"/>
      <w:jc w:val="center"/>
      <w:rPr>
        <w:rFonts w:ascii="Arial" w:hAnsi="Arial"/>
        <w:b/>
        <w:sz w:val="16"/>
      </w:rPr>
    </w:pPr>
  </w:style>
  <w:style w:type="paragraph" w:styleId="1CStyle45">
    <w:name w:val="1CStyle45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17">
    <w:name w:val="1CStyle17"/>
    <w:basedOn w:val="Normal"/>
    <w:pPr>
      <w:jc w:val="center"/>
      <w:rPr>
        <w:rFonts w:ascii="Arial" w:hAnsi="Arial"/>
        <w:sz w:val="16"/>
      </w:rPr>
    </w:pPr>
  </w:style>
  <w:style w:type="paragraph" w:styleId="1CStyle34">
    <w:name w:val="1CStyle34"/>
    <w:basedOn w:val="Normal"/>
    <w:pPr>
      <w:jc w:val="center"/>
      <w:rPr>
        <w:rFonts w:ascii="Arial" w:hAnsi="Arial"/>
        <w:sz w:val="16"/>
      </w:rPr>
    </w:pPr>
  </w:style>
  <w:style w:type="paragraph" w:styleId="1CStyle44">
    <w:name w:val="1CStyle44"/>
    <w:basedOn w:val="Normal"/>
    <w:pPr>
      <w:jc w:val="center"/>
      <w:rPr>
        <w:rFonts w:ascii="Arial" w:hAnsi="Arial"/>
        <w:sz w:val="16"/>
      </w:rPr>
    </w:pPr>
  </w:style>
  <w:style w:type="paragraph" w:styleId="1CStyle25">
    <w:name w:val="1CStyle25"/>
    <w:basedOn w:val="Normal"/>
    <w:pPr>
      <w:jc w:val="right"/>
      <w:rPr>
        <w:rFonts w:ascii="Arial" w:hAnsi="Arial"/>
        <w:sz w:val="16"/>
      </w:rPr>
    </w:pPr>
  </w:style>
  <w:style w:type="paragraph" w:styleId="1CStyle28">
    <w:name w:val="1CStyle2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0">
    <w:name w:val="1CStyle3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0">
    <w:name w:val="1CStyle4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1">
    <w:name w:val="1CStyle11"/>
    <w:basedOn w:val="Normal"/>
    <w:pPr>
      <w:wordWrap w:val="1"/>
      <w:jc w:val="center"/>
      <w:rPr>
        <w:rFonts w:ascii="Arial" w:hAnsi="Arial"/>
        <w:b/>
        <w:sz w:val="18"/>
      </w:rPr>
    </w:pPr>
  </w:style>
  <w:style w:type="paragraph" w:styleId="1CStyle15">
    <w:name w:val="1CStyle15"/>
    <w:basedOn w:val="Normal"/>
    <w:pPr>
      <w:wordWrap w:val="1"/>
      <w:jc w:val="right"/>
      <w:rPr>
        <w:rFonts w:ascii="Arial" w:hAnsi="Arial"/>
        <w:sz w:val="16"/>
      </w:rPr>
    </w:pPr>
  </w:style>
  <w:style w:type="paragraph" w:styleId="1CStyle35">
    <w:name w:val="1CStyle35"/>
    <w:basedOn w:val="Normal"/>
    <w:pPr>
      <w:jc w:val="center"/>
      <w:rPr>
        <w:rFonts w:ascii="Arial" w:hAnsi="Arial"/>
        <w:sz w:val="16"/>
      </w:rPr>
    </w:pPr>
  </w:style>
  <w:style w:type="paragraph" w:styleId="1CStyle33">
    <w:name w:val="1CStyle33"/>
    <w:basedOn w:val="Normal"/>
    <w:pPr>
      <w:jc w:val="center"/>
      <w:rPr>
        <w:rFonts w:ascii="Arial" w:hAnsi="Arial"/>
        <w:sz w:val="16"/>
      </w:rPr>
    </w:pPr>
  </w:style>
  <w:style w:type="paragraph" w:styleId="1CStyle41">
    <w:name w:val="1CStyle41"/>
    <w:basedOn w:val="Normal"/>
    <w:pPr>
      <w:jc w:val="center"/>
      <w:rPr>
        <w:rFonts w:ascii="Arial" w:hAnsi="Arial"/>
        <w:sz w:val="16"/>
      </w:rPr>
    </w:pPr>
  </w:style>
  <w:style w:type="paragraph" w:styleId="1CStyle42">
    <w:name w:val="1CStyle42"/>
    <w:basedOn w:val="Normal"/>
    <w:pPr>
      <w:jc w:val="center"/>
      <w:rPr>
        <w:rFonts w:ascii="Arial" w:hAnsi="Arial"/>
        <w:sz w:val="16"/>
      </w:rPr>
    </w:pPr>
  </w:style>
  <w:style w:type="paragraph" w:styleId="1CStyle43">
    <w:name w:val="1CStyle43"/>
    <w:basedOn w:val="Normal"/>
    <w:pPr>
      <w:jc w:val="center"/>
      <w:rPr>
        <w:rFonts w:ascii="Arial" w:hAnsi="Arial"/>
        <w:sz w:val="16"/>
      </w:rPr>
    </w:pPr>
  </w:style>
  <w:style w:type="paragraph" w:styleId="1CStyle18">
    <w:name w:val="1CStyle18"/>
    <w:basedOn w:val="Normal"/>
    <w:pPr>
      <w:jc w:val="right"/>
      <w:rPr>
        <w:rFonts w:ascii="Arial" w:hAnsi="Arial"/>
        <w:sz w:val="16"/>
      </w:rPr>
    </w:pPr>
  </w:style>
  <w:style w:type="paragraph" w:styleId="1CStyle14">
    <w:name w:val="1CStyle14"/>
    <w:basedOn w:val="Normal"/>
    <w:pPr>
      <w:jc w:val="center"/>
      <w:rPr>
        <w:rFonts w:ascii="Arial" w:hAnsi="Arial"/>
        <w:sz w:val="16"/>
      </w:rPr>
    </w:pPr>
  </w:style>
  <w:style w:type="paragraph" w:styleId="1CStyle12">
    <w:name w:val="1CStyle12"/>
    <w:basedOn w:val="Normal"/>
    <w:pPr>
      <w:jc w:val="center"/>
      <w:rPr>
        <w:rFonts w:ascii="Arial" w:hAnsi="Arial"/>
        <w:sz w:val="16"/>
      </w:rPr>
    </w:pPr>
  </w:style>
  <w:style w:type="paragraph" w:styleId="1CStyle36">
    <w:name w:val="1CStyle36"/>
    <w:basedOn w:val="Normal"/>
    <w:pPr>
      <w:jc w:val="center"/>
      <w:rPr>
        <w:rFonts w:ascii="Arial" w:hAnsi="Arial"/>
        <w:sz w:val="16"/>
      </w:rPr>
    </w:pPr>
  </w:style>
  <w:style w:type="paragraph" w:styleId="1CStyle32">
    <w:name w:val="1CStyle32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0">
    <w:name w:val="1CStyle2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3">
    <w:name w:val="1CStyle23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7">
    <w:name w:val="1CStyle2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13">
    <w:name w:val="1CStyle13"/>
    <w:basedOn w:val="Normal"/>
    <w:pPr>
      <w:wordWrap w:val="1"/>
      <w:jc w:val="right"/>
      <w:rPr>
        <w:rFonts w:ascii="Arial" w:hAnsi="Arial"/>
        <w:sz w:val="16"/>
      </w:rPr>
    </w:pPr>
  </w:style>
  <w:style w:type="paragraph" w:styleId="1CStyle47">
    <w:name w:val="1CStyle47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69">
    <w:name w:val="1CStyle69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71">
    <w:name w:val="1CStyle7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70">
    <w:name w:val="1CStyle70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38">
    <w:name w:val="1CStyle38"/>
    <w:basedOn w:val="Normal"/>
    <w:pPr>
      <w:jc w:val="center"/>
      <w:rPr>
        <w:rFonts w:ascii="Arial" w:hAnsi="Arial"/>
        <w:sz w:val="16"/>
      </w:rPr>
    </w:pPr>
  </w:style>
  <w:style w:type="paragraph" w:styleId="1CStyle26">
    <w:name w:val="1CStyle26"/>
    <w:basedOn w:val="Normal"/>
    <w:pPr>
      <w:jc w:val="center"/>
      <w:rPr>
        <w:rFonts w:ascii="Arial" w:hAnsi="Arial"/>
        <w:sz w:val="16"/>
      </w:rPr>
    </w:pPr>
  </w:style>
  <w:style w:type="paragraph" w:styleId="1CStyle29">
    <w:name w:val="1CStyle29"/>
    <w:basedOn w:val="Normal"/>
    <w:pPr>
      <w:jc w:val="center"/>
      <w:rPr>
        <w:rFonts w:ascii="Arial" w:hAnsi="Arial"/>
        <w:sz w:val="16"/>
      </w:rPr>
    </w:pPr>
  </w:style>
  <w:style w:type="paragraph" w:styleId="1CStyle21">
    <w:name w:val="1CStyle21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2">
    <w:name w:val="1CStyle22"/>
    <w:basedOn w:val="Normal"/>
    <w:pPr>
      <w:jc w:val="center"/>
      <w:rPr>
        <w:rFonts w:ascii="Arial" w:hAnsi="Arial"/>
        <w:sz w:val="16"/>
      </w:rPr>
    </w:pPr>
  </w:style>
  <w:style w:type="paragraph" w:styleId="1CStyle39">
    <w:name w:val="1CStyle39"/>
    <w:basedOn w:val="Normal"/>
    <w:pPr>
      <w:jc w:val="center"/>
      <w:rPr>
        <w:rFonts w:ascii="Arial" w:hAnsi="Arial"/>
        <w:sz w:val="16"/>
      </w:rPr>
    </w:pPr>
  </w:style>
  <w:style w:type="paragraph" w:styleId="1CStyle37">
    <w:name w:val="1CStyle37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24">
    <w:name w:val="1CStyle24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9">
    <w:name w:val="1CStyle49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48">
    <w:name w:val="1CStyle48"/>
    <w:basedOn w:val="Normal"/>
    <w:pPr>
      <w:wordWrap w:val="1"/>
      <w:jc w:val="center"/>
      <w:rPr>
        <w:rFonts w:ascii="Arial" w:hAnsi="Arial"/>
        <w:sz w:val="16"/>
      </w:rPr>
    </w:pPr>
  </w:style>
  <w:style w:type="paragraph" w:styleId="1CStyle91">
    <w:name w:val="1CStyle91"/>
    <w:basedOn w:val="Normal"/>
    <w:pPr>
      <w:jc w:val="right"/>
      <w:rPr/>
    </w:pPr>
  </w:style>
  <w:style w:type="paragraph" w:styleId="1CStyle92">
    <w:name w:val="1CStyle92"/>
    <w:basedOn w:val="Normal"/>
    <w:pPr>
      <w:jc w:val="right"/>
      <w:rPr/>
    </w:pPr>
  </w:style>
  <w:style w:type="paragraph" w:styleId="1CStyle60">
    <w:name w:val="1CStyle60"/>
    <w:basedOn w:val="Normal"/>
    <w:pPr>
      <w:jc w:val="right"/>
      <w:rPr/>
    </w:pPr>
  </w:style>
  <w:style w:type="paragraph" w:styleId="1CStyle84">
    <w:name w:val="1CStyle84"/>
    <w:basedOn w:val="Normal"/>
    <w:pPr>
      <w:jc w:val="right"/>
      <w:rPr/>
    </w:pPr>
  </w:style>
  <w:style w:type="paragraph" w:styleId="1CStyle62">
    <w:name w:val="1CStyle62"/>
    <w:basedOn w:val="Normal"/>
    <w:pPr>
      <w:jc w:val="right"/>
      <w:rPr/>
    </w:pPr>
  </w:style>
  <w:style w:type="paragraph" w:styleId="1CStyle85">
    <w:name w:val="1CStyle85"/>
    <w:basedOn w:val="Normal"/>
    <w:pPr>
      <w:jc w:val="right"/>
      <w:rPr/>
    </w:pPr>
  </w:style>
  <w:style w:type="paragraph" w:styleId="1CStyle87">
    <w:name w:val="1CStyle87"/>
    <w:basedOn w:val="Normal"/>
    <w:pPr>
      <w:jc w:val="right"/>
      <w:rPr/>
    </w:pPr>
  </w:style>
  <w:style w:type="paragraph" w:styleId="1CStyle88">
    <w:name w:val="1CStyle88"/>
    <w:basedOn w:val="Normal"/>
    <w:pPr>
      <w:jc w:val="right"/>
      <w:rPr/>
    </w:pPr>
  </w:style>
  <w:style w:type="paragraph" w:styleId="1CStyle61">
    <w:name w:val="1CStyle61"/>
    <w:basedOn w:val="Normal"/>
    <w:pPr>
      <w:jc w:val="right"/>
      <w:rPr/>
    </w:pPr>
  </w:style>
  <w:style w:type="paragraph" w:styleId="1CStyle83">
    <w:name w:val="1CStyle83"/>
    <w:basedOn w:val="Normal"/>
    <w:pPr>
      <w:jc w:val="right"/>
      <w:rPr/>
    </w:pPr>
  </w:style>
  <w:style w:type="paragraph" w:styleId="1CStyle90">
    <w:name w:val="1CStyle90"/>
    <w:basedOn w:val="Normal"/>
    <w:pPr>
      <w:jc w:val="right"/>
      <w:rPr/>
    </w:pPr>
  </w:style>
  <w:style w:type="paragraph" w:styleId="1CStyle66">
    <w:name w:val="1CStyle66"/>
    <w:basedOn w:val="Normal"/>
    <w:pPr>
      <w:jc w:val="right"/>
      <w:rPr/>
    </w:pPr>
  </w:style>
  <w:style w:type="paragraph" w:styleId="1CStyle82">
    <w:name w:val="1CStyle82"/>
    <w:basedOn w:val="Normal"/>
    <w:pPr>
      <w:jc w:val="right"/>
      <w:rPr/>
    </w:pPr>
  </w:style>
  <w:style w:type="paragraph" w:styleId="1CStyle112">
    <w:name w:val="1CStyle112"/>
    <w:basedOn w:val="Normal"/>
    <w:pPr>
      <w:jc w:val="right"/>
      <w:rPr>
        <w:rFonts w:ascii="Arial" w:hAnsi="Arial"/>
        <w:sz w:val="16"/>
      </w:rPr>
    </w:pPr>
  </w:style>
  <w:style w:type="paragraph" w:styleId="1CStyle113">
    <w:name w:val="1CStyle113"/>
    <w:basedOn w:val="Normal"/>
    <w:pPr>
      <w:jc w:val="right"/>
      <w:rPr>
        <w:rFonts w:ascii="Arial" w:hAnsi="Arial"/>
        <w:sz w:val="16"/>
      </w:rPr>
    </w:pPr>
  </w:style>
  <w:style w:type="paragraph" w:styleId="1CStyle111">
    <w:name w:val="1CStyle111"/>
    <w:basedOn w:val="Normal"/>
    <w:pPr>
      <w:jc w:val="right"/>
      <w:rPr>
        <w:rFonts w:ascii="Arial" w:hAnsi="Arial"/>
        <w:sz w:val="16"/>
      </w:rPr>
    </w:pPr>
  </w:style>
  <w:style w:type="paragraph" w:styleId="1CStyle110">
    <w:name w:val="1CStyle110"/>
    <w:basedOn w:val="Normal"/>
    <w:pPr>
      <w:jc w:val="right"/>
      <w:rPr>
        <w:rFonts w:ascii="Arial" w:hAnsi="Arial"/>
        <w:sz w:val="16"/>
      </w:rPr>
    </w:pPr>
  </w:style>
  <w:style w:type="paragraph" w:styleId="1CStyle76">
    <w:name w:val="1CStyle76"/>
    <w:basedOn w:val="Normal"/>
    <w:pPr>
      <w:jc w:val="right"/>
      <w:rPr/>
    </w:pPr>
  </w:style>
  <w:style w:type="paragraph" w:styleId="1CStyle77">
    <w:name w:val="1CStyle77"/>
    <w:basedOn w:val="Normal"/>
    <w:pPr>
      <w:jc w:val="right"/>
      <w:rPr/>
    </w:pPr>
  </w:style>
  <w:style w:type="paragraph" w:styleId="1CStyle75">
    <w:name w:val="1CStyle75"/>
    <w:basedOn w:val="Normal"/>
    <w:pPr>
      <w:jc w:val="right"/>
      <w:rPr/>
    </w:pPr>
  </w:style>
  <w:style w:type="paragraph" w:styleId="1CStyle74">
    <w:name w:val="1CStyle74"/>
    <w:basedOn w:val="Normal"/>
    <w:pPr>
      <w:jc w:val="right"/>
      <w:rPr/>
    </w:pPr>
  </w:style>
  <w:style w:type="paragraph" w:styleId="1CStyle19">
    <w:name w:val="1CStyle19"/>
    <w:basedOn w:val="Normal"/>
    <w:pPr>
      <w:jc w:val="center"/>
      <w:rPr>
        <w:rFonts w:ascii="Arial" w:hAnsi="Arial"/>
        <w:sz w:val="16"/>
      </w:rPr>
    </w:pPr>
  </w:style>
  <w:style w:type="paragraph" w:styleId="1CStyle16">
    <w:name w:val="1CStyle16"/>
    <w:basedOn w:val="Normal"/>
    <w:pPr>
      <w:jc w:val="center"/>
      <w:rPr>
        <w:rFonts w:ascii="Arial" w:hAnsi="Arial"/>
        <w:sz w:val="16"/>
      </w:rPr>
    </w:pPr>
  </w:style>
  <w:style w:type="paragraph" w:styleId="1CStyle1">
    <w:name w:val="1CStyle1"/>
    <w:basedOn w:val="Normal"/>
    <w:pPr>
      <w:jc w:val="right"/>
      <w:rPr/>
    </w:pPr>
  </w:style>
  <w:style w:type="paragraph" w:styleId="1CStyle2">
    <w:name w:val="1CStyle2"/>
    <w:basedOn w:val="Normal"/>
    <w:pPr>
      <w:jc w:val="right"/>
      <w:rPr/>
    </w:pPr>
  </w:style>
  <w:style w:type="paragraph" w:styleId="1CStyle6">
    <w:name w:val="1CStyle6"/>
    <w:basedOn w:val="Normal"/>
    <w:pPr>
      <w:jc w:val="right"/>
      <w:rPr>
        <w:rFonts w:ascii="Arial" w:hAnsi="Arial"/>
        <w:b/>
        <w:sz w:val="16"/>
      </w:rPr>
    </w:pPr>
  </w:style>
  <w:style w:type="paragraph" w:styleId="1CStyle3">
    <w:name w:val="1CStyle3"/>
    <w:basedOn w:val="Normal"/>
    <w:pPr>
      <w:jc w:val="right"/>
      <w:rPr/>
    </w:pPr>
  </w:style>
  <w:style w:type="paragraph" w:styleId="1CStyle7">
    <w:name w:val="1CStyle7"/>
    <w:basedOn w:val="Normal"/>
    <w:pPr>
      <w:jc w:val="right"/>
      <w:rPr>
        <w:rFonts w:ascii="Arial" w:hAnsi="Arial"/>
        <w:b/>
        <w:sz w:val="16"/>
      </w:rPr>
    </w:pPr>
  </w:style>
  <w:style w:type="paragraph" w:styleId="1CStyle31">
    <w:name w:val="1CStyle31"/>
    <w:basedOn w:val="Normal"/>
    <w:pPr>
      <w:ind w:left="0"/>
      <w:jc w:val="right"/>
      <w:rPr>
        <w:rFonts w:ascii="Arial" w:hAnsi="Arial"/>
        <w:sz w:val="16"/>
      </w:rPr>
    </w:pPr>
  </w:style>
  <w:style w:type="paragraph" w:styleId="1CStyle104">
    <w:name w:val="1CStyle104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98">
    <w:name w:val="1CStyle98"/>
    <w:basedOn w:val="Normal"/>
    <w:pPr>
      <w:wordWrap w:val="1"/>
      <w:jc w:val="center"/>
      <w:rPr/>
    </w:pPr>
  </w:style>
  <w:style w:type="paragraph" w:styleId="1CStyle106">
    <w:name w:val="1CStyle106"/>
    <w:basedOn w:val="Normal"/>
    <w:pPr>
      <w:wordWrap w:val="1"/>
      <w:jc w:val="center"/>
      <w:rPr/>
    </w:pPr>
  </w:style>
  <w:style w:type="paragraph" w:styleId="1CStyle93">
    <w:name w:val="1CStyle93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58">
    <w:name w:val="1CStyle58"/>
    <w:basedOn w:val="Normal"/>
    <w:pPr>
      <w:wordWrap w:val="1"/>
      <w:jc w:val="center"/>
      <w:rPr>
        <w:rFonts w:ascii="Arial" w:hAnsi="Arial"/>
        <w:sz w:val="18"/>
      </w:rPr>
    </w:pPr>
  </w:style>
  <w:style w:type="paragraph" w:styleId="1CStyle63">
    <w:name w:val="1CStyle63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00">
    <w:name w:val="1CStyle100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65">
    <w:name w:val="1CStyle65"/>
    <w:basedOn w:val="Normal"/>
    <w:pPr>
      <w:wordWrap w:val="1"/>
      <w:ind w:left="60"/>
      <w:jc w:val="center"/>
      <w:rPr>
        <w:rFonts w:ascii="Arial" w:hAnsi="Arial"/>
        <w:sz w:val="16"/>
      </w:rPr>
    </w:pPr>
  </w:style>
  <w:style w:type="paragraph" w:styleId="1CStyle105">
    <w:name w:val="1CStyle105"/>
    <w:basedOn w:val="Normal"/>
    <w:pPr>
      <w:wordWrap w:val="1"/>
      <w:ind w:left="80"/>
      <w:jc w:val="center"/>
      <w:rPr>
        <w:rFonts w:ascii="Arial" w:hAnsi="Arial"/>
        <w:sz w:val="16"/>
      </w:rPr>
    </w:pPr>
  </w:style>
  <w:style w:type="paragraph" w:styleId="1CStyle72">
    <w:name w:val="1CStyle72"/>
    <w:basedOn w:val="Normal"/>
    <w:pPr>
      <w:wordWrap w:val="1"/>
      <w:ind w:left="60"/>
      <w:jc w:val="center"/>
      <w:rPr>
        <w:rFonts w:ascii="Arial" w:hAnsi="Arial"/>
        <w:sz w:val="16"/>
      </w:rPr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