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5355"/>
        <w:gridCol w:w="1260"/>
        <w:gridCol w:w="630"/>
        <w:gridCol w:w="2100"/>
        <w:gridCol w:w="2100"/>
        <w:gridCol w:w="2100"/>
        <w:gridCol w:w="2100"/>
        <w:gridCol w:w="945"/>
        <w:gridCol w:w="0"/>
      </w:tblGrid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3990"/>
        <w:gridCol w:w="4410"/>
        <w:gridCol w:w="4410"/>
        <w:gridCol w:w="1365"/>
        <w:gridCol w:w="1470"/>
        <w:gridCol w:w="945"/>
        <w:gridCol w:w="0"/>
      </w:tblGrid>
      <w:tr>
        <w:tc>
          <w:tcPr>
            <w:gridSpan w:val="2"/>
            <w:tcW w:w="8400" w:type="dxa"/>
            <w:vAlign w:val="center"/>
            <w:shd w:val="clear" w:color="FFFFFF" w:fill="#d5eeff"/>
            <w:pPr>
              <w:jc w:val="left"/>
            </w:pPr>
          </w:tcPr>
          <w:p>
            <w:pPr>
              <w:pStyle w:val="1CStyle4"/>
            </w:pPr>
            <w:r>
              <w:t>ГБОУ СПО МКЖТ</w:t>
            </w:r>
          </w:p>
        </w:tc>
        <w:tc>
          <w:tcPr>
            <w:tcW w:w="4410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470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3990" w:type="dxa"/>
            <w:vAlign w:val="center"/>
            <w:shd w:val="clear" w:color="FFFFFF" w:fill="#d5eeff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 «01» января 2015 г.</w:t>
            </w:r>
          </w:p>
        </w:tc>
        <w:tc>
          <w:tcPr>
            <w:gridSpan w:val="2"/>
            <w:tcW w:w="8820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9"/>
            </w:pPr>
            <w:r>
              <w:t>Код формы по ОКУД</w:t>
            </w:r>
          </w:p>
        </w:tc>
        <w:tc>
          <w:tcPr>
            <w:tcW w:w="147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0"/>
            </w:pPr>
            <w:r>
              <w:t>0503768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gridSpan w:val="5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>СВЕДЕНИЯ О ДВИЖЕНИИ НЕФИНАНСОВЫХ АКТИВОВ УЧРЕЖДЕНИЯ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39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882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tcW w:w="147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39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>Вид деятельности</w:t>
            </w:r>
          </w:p>
        </w:tc>
        <w:tc>
          <w:tcPr>
            <w:gridSpan w:val="2"/>
            <w:tcW w:w="8820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gridSpan w:val="3"/>
            <w:tcW w:w="33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</w:tr>
      <w:tr>
        <w:tc>
          <w:tcPr>
            <w:tcW w:w="3990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gridSpan w:val="2"/>
            <w:tcW w:w="8820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gridSpan w:val="4"/>
            <w:tcW w:w="472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22"/>
            </w:pPr>
            <w:r>
              <w:t/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355"/>
        <w:gridCol w:w="1260"/>
        <w:gridCol w:w="630"/>
        <w:gridCol w:w="2100"/>
        <w:gridCol w:w="2100"/>
        <w:gridCol w:w="2100"/>
        <w:gridCol w:w="2100"/>
        <w:gridCol w:w="945"/>
        <w:gridCol w:w="0"/>
      </w:tblGrid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gridSpan w:val="7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23"/>
            </w:pPr>
            <w:r>
              <w:t>1. Нефинансовые активы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gridSpan w:val="2"/>
            <w:tcW w:w="661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Счет аналитического учета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Наличие на начало года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Поступление (увеличение)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Выбытие (уменьшение)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наименование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код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Наличие на начало года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Поступление (увеличение)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Выбытие (уменьшение)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9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1. Движение основных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8"/>
            </w:pPr>
            <w:r>
              <w:t>1.1. 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37 416 061,03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4 614 535,00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3"/>
            </w:pPr>
            <w:r>
              <w:t>240 189,00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41 790 407,03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Жилые помещения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011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Нежилые помещения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21 220 333,00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21 220 333,00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Сооружения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Машины и оборудование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Х4 000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014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13 899 757,76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4 399 990,00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18 299 747,76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Транспортные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Х5 000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015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820 635,12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820 635,12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Производственный и хозяйственный инвентарь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Х6 000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016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1 250 346,85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214 545,00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221 931,00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1 242 960,85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Библиотечный фонд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Х7 000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017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200 811,30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200 811,30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Прочие 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0 101 Х8 000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018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24 177,00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18 258,00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5 919,00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1.2. Амортизация основных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23 160 465,15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3"/>
            </w:pPr>
            <w:r>
              <w:t>2 417 693,42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25 578 158,57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жилых помещений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051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нежилых помещений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13 412 118,55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195 892,08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13 608 010,63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сооружений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0 104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053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7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8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2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9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машин и оборудования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3"/>
            </w:pPr>
            <w:r>
              <w:t>0 104 Х4 000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4"/>
            </w:pPr>
            <w:r>
              <w:t>054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7 553 835,45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6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7"/>
            </w:pPr>
            <w:r>
              <w:t>2 235 728,90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8"/>
            </w:pPr>
            <w:r>
              <w:t>9 789 564,35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транспортных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Х5 000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055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820 635,12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820 635,12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производственного и хозяйственного инвентаря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Х6 000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056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1 148 887,73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4 330,44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1 153 218,17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библиотечного фонда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Х7 000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057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200 811,30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200 811,30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Амортизация прочих основных средств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Х8 000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058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24 177,00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-18 258,00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5 919,00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1.3. Вложения в 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0 106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070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4 614 535,00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4 614 535,00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1.4. Основные средства в пути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0 107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080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2. Движение нематериальных активов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2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2.1. 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0 102 Х0 000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110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2.2. Амортизация нематериальных активов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0 104 Х9 000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120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0"/>
            </w:pPr>
            <w:r>
              <w:t>×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2.3. Вложения в 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0 106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130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3. Движение непроизведенных активов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2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8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5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3.1. 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150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2"/>
            </w:pPr>
            <w:r>
              <w:t>21 472 859,37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21 472 859,37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Земля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Х1 000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151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21 472 859,37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21 472 859,37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Ресурсы недр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Х2 000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5"/>
            </w:pPr>
            <w:r>
              <w:t>Прочие 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0 103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153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3.2. Капитальные вложения в 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0 106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170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4. Движение материальных запасов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8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4.1. 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0 105 00 000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190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647 292,62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89 841,41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557 451,21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4.2. Вложения в 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0 106 Х4 000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230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4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rPr>
          <w:trHeight w:val="500" w:hRule="exact"/>
        </w:trP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9"/>
            </w:pPr>
            <w:r>
              <w:t>4.3. Материальные запасы в пути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1"/>
            </w:pPr>
            <w:r>
              <w:t>0 107 Х3 000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250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3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6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−</w:t>
            </w:r>
          </w:p>
        </w:tc>
        <w:tc>
          <w:tcPr>
            <w:tcW w:w="2100" w:type="dxa"/>
            <w:vAlign w:val="center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945" w:type="dxa"/>
            <w:vAlign w:val="center"/>
            <w:shd w:val="clear" w:color="FFFFFF" w:fill="auto"/>
            <w:pPr>
              <w:jc w:val="left"/>
            </w:pPr>
          </w:tcPr>
          <w:p>
            <w:pPr>
              <w:pStyle w:val="1CStyle47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00" w:hRule="exact"/>
        </w:trPr>
        <w:tc>
          <w:tcPr>
            <w:gridSpan w:val="7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89"/>
            </w:pPr>
            <w:r>
              <w:t>2. Недвижимое и особо ценное имущество учреждения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gridSpan w:val="2"/>
            <w:tcW w:w="661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Счет аналитического учета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наименование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код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75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>1.1 Основные средства,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6"/>
            </w:pPr>
            <w:r>
              <w:t>0 101 00 000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97"/>
            </w:pPr>
            <w:r>
              <w:t>310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37 416 061,03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4 614 535,00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98"/>
            </w:pPr>
            <w:r>
              <w:t>240 189,00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9"/>
            </w:pPr>
            <w:r>
              <w:t>41 790 407,03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0 101 10 000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311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21 220 333,00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21 220 333,00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0 101 20 000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312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10 398 744,33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10 398 744,33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1.2 Амортизация основных средств,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0 104 00 000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320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23 160 465,15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2 417 693,42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25 578 158,57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0 104 10 000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321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13 412 118,55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195 892,08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13 608 010,63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4 498 388,22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1 810 519,79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6 308 908,01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1.3 Вложения в основные средства,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Х1 000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330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4 614 535,00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4 614 535,00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0 106 11 000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331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0 106 21 000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332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1.4 Основные средства в пути,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0 107 Х1 000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340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341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342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2.1 Нематериальные активы,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0 102 Х0 000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350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0 102 20 000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352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2.2 Амортизация нематериальных активов,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Х9 000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360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0 104 29 000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2.3 Вложения в нематериальные активы,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Х2 000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370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0 106 22 000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372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3.1 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0 103 10 000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380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21 472 859,37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3.2 Вложения в непроизведенные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0 106 13 000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390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4.1 Материальные запасы,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0 105 00 000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410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647 292,62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>89 841,41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557 451,21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0 105 20 000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412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4.2 Вложения в материальные запасы,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Х4 000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420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0 106 24 000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1"/>
            </w:pPr>
            <w:r>
              <w:t>4.3 Материальные запасы в пути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0 107 Х3 000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430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1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rPr>
          <w:trHeight w:val="300" w:hRule="exact"/>
        </w:trP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2"/>
            </w:pPr>
            <w:r>
              <w:t>0 107 23 000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13"/>
            </w:pPr>
            <w:r>
              <w:t>432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1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rPr>
          <w:trHeight w:val="300" w:hRule="exact"/>
        </w:trPr>
        <w:tc>
          <w:tcPr>
            <w:gridSpan w:val="7"/>
            <w:tcW w:w="156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89"/>
            </w:pPr>
            <w:r>
              <w:t>3. Движение материальных ценностей на забалансовых счетах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0"/>
            </w:pPr>
            <w:r>
              <w:t/>
            </w:r>
          </w:p>
        </w:tc>
      </w:tr>
      <w:tr>
        <w:tc>
          <w:tcPr>
            <w:gridSpan w:val="2"/>
            <w:tcW w:w="6615" w:type="dxa"/>
            <w:vAlign w:val="center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Забалансовый счет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restart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16"/>
            </w:pPr>
            <w:r>
              <w:t>наименование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код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Код стро-</w:t>
              <w:br/>
              <w:t>
ки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1"/>
            </w:pPr>
            <w:r>
              <w:t>Наличие на начало года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2"/>
            </w:pPr>
            <w:r>
              <w:t>Поступление (увеличение)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Выбытие (уменьшение)</w:t>
            </w:r>
          </w:p>
        </w:tc>
        <w:tc>
          <w:tcPr>
            <w:vMerge w:val="continue"/>
            <w:tcW w:w="210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Наличие на конец года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1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3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4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6</w:t>
            </w:r>
          </w:p>
        </w:tc>
        <w:tc>
          <w:tcPr>
            <w:tcW w:w="2100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1. Имущество, полученное в пользование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>01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19"/>
            </w:pPr>
            <w:r>
              <w:t>450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451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непроизведенное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452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21 472 859,37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453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2. Материальные ценности, принятые на хранение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460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4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461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3. Бланки строгой отчетности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03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470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30,00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512,00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30,00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512,00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471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#ffffc0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472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4. Материальные ценности, оплаченные по централизованному снабжению, всего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05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7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8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484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5. Переходящие награды, призы, кубки и ценные подарки, сувениры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07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490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6. Основные средства, стоимостью до 3000 рублей включительно в эксплуатации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21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510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1 110 249,55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232 462,00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30 519,48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1 312 192,07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511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5 040,00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5 040,00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иное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512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1 105 209,55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232 462,00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30 519,48</w:t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1 307 152,07</w:t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dotted" w:sz="5" w:space="0" w:color="auto"/>
            </w:tcBorders>
            <w:pPr>
              <w:jc w:val="left"/>
            </w:pPr>
          </w:tcPr>
          <w:p>
            <w:pPr>
              <w:pStyle w:val="1CStyle139"/>
            </w:pPr>
            <w:r>
              <w:t>7. Материальные ценности, полученные по централизованному снабжению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dotted" w:sz="5" w:space="0" w:color="auto"/>
            </w:tcBorders>
            <w:pPr>
              <w:jc w:val="center"/>
            </w:pPr>
          </w:tcPr>
          <w:p>
            <w:pPr>
              <w:pStyle w:val="1CStyle140"/>
            </w:pPr>
            <w:r>
              <w:t>22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dotted" w:sz="5" w:space="0" w:color="auto"/>
            </w:tcBorders>
            <w:pPr>
              <w:jc w:val="center"/>
            </w:pPr>
          </w:tcPr>
          <w:p>
            <w:pPr>
              <w:pStyle w:val="1CStyle141"/>
            </w:pPr>
            <w:r>
              <w:t>520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dotted" w:sz="5" w:space="0" w:color="auto"/>
            </w:tcBorders>
            <w:pPr>
              <w:jc w:val="righ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dotted" w:sz="5" w:space="0" w:color="auto"/>
            </w:tcBorders>
            <w:pPr>
              <w:jc w:val="righ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dotted" w:sz="5" w:space="0" w:color="auto"/>
            </w:tcBorders>
            <w:pPr>
              <w:jc w:val="righ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dotted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22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7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8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524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8. Периодические издания для пользования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23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530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9. Имущество, переданное в доверительное управление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24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4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546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547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>10. Имущество, переданное в возмездное пользование (аренду)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25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4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556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557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>11. Имущество, переданное в безвозмездное пользование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>26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560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4"/>
            </w:pPr>
            <w:r>
              <w:t>в том числе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6"/>
            </w:pPr>
            <w:r>
              <w:t>основные средства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561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недвижимое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562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563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нематериальные активы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564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33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565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27"/>
            </w:pPr>
            <w:r>
              <w:t>материальные запасы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8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129"/>
            </w:pPr>
            <w:r>
              <w:t>566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2"/>
            </w:pPr>
            <w:r>
              <w:t>из них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</w:tcBorders>
            <w:pPr>
              <w:jc w:val="center"/>
            </w:pPr>
          </w:tcPr>
          <w:p>
            <w:pPr>
              <w:pStyle w:val="1CStyle123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</w:tcBorders>
            <w:pPr>
              <w:jc w:val="center"/>
            </w:pPr>
          </w:tcPr>
          <w:p>
            <w:pPr>
              <w:pStyle w:val="1CStyle124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</w:tcBorders>
            <w:pPr>
              <w:jc w:val="left"/>
            </w:pPr>
          </w:tcPr>
          <w:p>
            <w:pPr>
              <w:pStyle w:val="1CStyle125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26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  <w:tr>
        <w:tc>
          <w:tcPr>
            <w:tcW w:w="535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особо ценное движимое имущество</w:t>
            </w:r>
          </w:p>
        </w:tc>
        <w:tc>
          <w:tcPr>
            <w:tcW w:w="1260" w:type="dxa"/>
            <w:vAlign w:val="center"/>
            <w:shd w:val="clear" w:color="FFFFFF" w:fill="auto"/>
            <w:tcBorders>
              <w:left w:val="single" w:sz="10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48"/>
            </w:pPr>
            <w:r>
              <w:t>567</w:t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4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4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</w:tcBorders>
            <w:pPr>
              <w:jc w:val="right"/>
            </w:pPr>
          </w:tcPr>
          <w:p>
            <w:pPr>
              <w:pStyle w:val="1CStyle149"/>
            </w:pPr>
            <w:r>
              <w:t/>
            </w:r>
          </w:p>
        </w:tc>
        <w:tc>
          <w:tcPr>
            <w:tcW w:w="2100" w:type="dxa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50"/>
            </w:pPr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3"/>
            </w:pPr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paragraph" w:styleId="1CStyle1">
    <w:name w:val="1CStyle1"/>
    <w:basedOn w:val="Normal"/>
    <w:pPr>
      <w:jc w:val="center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>
        <w:rFonts w:ascii="Arial" w:hAnsi="Arial"/>
        <w:sz w:val="16"/>
      </w:rPr>
    </w:pPr>
  </w:style>
  <w:style w:type="paragraph" w:styleId="1CStyle39">
    <w:name w:val="1CStyle39"/>
    <w:basedOn w:val="Normal"/>
    <w:pPr>
      <w:jc w:val="center"/>
      <w:rPr>
        <w:rFonts w:ascii="Arial" w:hAnsi="Arial"/>
        <w:sz w:val="14"/>
      </w:rPr>
    </w:pPr>
  </w:style>
  <w:style w:type="paragraph" w:styleId="1CStyle3">
    <w:name w:val="1CStyle3"/>
    <w:basedOn w:val="Normal"/>
    <w:pPr>
      <w:jc w:val="center"/>
      <w:rPr>
        <w:rFonts w:ascii="Arial" w:hAnsi="Arial"/>
        <w:sz w:val="16"/>
      </w:rPr>
    </w:pPr>
  </w:style>
  <w:style w:type="paragraph" w:styleId="1CStyle13">
    <w:name w:val="1CStyle13"/>
    <w:basedOn w:val="Normal"/>
    <w:pPr>
      <w:jc w:val="center"/>
      <w:rPr>
        <w:rFonts w:ascii="Arial" w:hAnsi="Arial"/>
        <w:sz w:val="16"/>
      </w:rPr>
    </w:pPr>
  </w:style>
  <w:style w:type="paragraph" w:styleId="1CStyle0">
    <w:name w:val="1CStyle0"/>
    <w:basedOn w:val="Normal"/>
    <w:pPr>
      <w:jc w:val="center"/>
      <w:rPr>
        <w:rFonts w:ascii="Arial" w:hAnsi="Arial"/>
        <w:sz w:val="16"/>
      </w:rPr>
    </w:pPr>
  </w:style>
  <w:style w:type="paragraph" w:styleId="1CStyle15">
    <w:name w:val="1CStyle15"/>
    <w:basedOn w:val="Normal"/>
    <w:pPr>
      <w:jc w:val="center"/>
      <w:rPr>
        <w:rFonts w:ascii="Arial" w:hAnsi="Arial"/>
        <w:sz w:val="16"/>
      </w:rPr>
    </w:pPr>
  </w:style>
  <w:style w:type="paragraph" w:styleId="1CStyle-1">
    <w:name w:val="1CStyle-1"/>
    <w:basedOn w:val="Normal"/>
    <w:pPr>
      <w:jc w:val="center"/>
      <w:rPr>
        <w:rFonts w:ascii="Arial" w:hAnsi="Arial"/>
        <w:sz w:val="16"/>
      </w:rPr>
    </w:pPr>
  </w:style>
  <w:style w:type="paragraph" w:styleId="1CStyle2">
    <w:name w:val="1CStyle2"/>
    <w:basedOn w:val="Normal"/>
    <w:pPr>
      <w:jc w:val="center"/>
      <w:rPr>
        <w:rFonts w:ascii="Arial" w:hAnsi="Arial"/>
        <w:sz w:val="16"/>
      </w:rPr>
    </w:pPr>
  </w:style>
  <w:style w:type="paragraph" w:styleId="1CStyle125">
    <w:name w:val="1CStyle125"/>
    <w:basedOn w:val="Normal"/>
    <w:pPr>
      <w:jc w:val="center"/>
      <w:rPr>
        <w:rFonts w:ascii="Arial" w:hAnsi="Arial"/>
        <w:sz w:val="16"/>
      </w:rPr>
    </w:pPr>
  </w:style>
  <w:style w:type="paragraph" w:styleId="1CStyle126">
    <w:name w:val="1CStyle126"/>
    <w:basedOn w:val="Normal"/>
    <w:pPr>
      <w:jc w:val="center"/>
      <w:rPr>
        <w:rFonts w:ascii="Arial" w:hAnsi="Arial"/>
        <w:sz w:val="16"/>
      </w:rPr>
    </w:pPr>
  </w:style>
  <w:style w:type="paragraph" w:styleId="1CStyle14">
    <w:name w:val="1CStyle14"/>
    <w:basedOn w:val="Normal"/>
    <w:pPr>
      <w:jc w:val="center"/>
      <w:rPr>
        <w:rFonts w:ascii="Arial" w:hAnsi="Arial"/>
        <w:sz w:val="16"/>
      </w:rPr>
    </w:pPr>
  </w:style>
  <w:style w:type="paragraph" w:styleId="1CStyle90">
    <w:name w:val="1CStyle90"/>
    <w:basedOn w:val="Normal"/>
    <w:pPr>
      <w:jc w:val="center"/>
      <w:rPr>
        <w:rFonts w:ascii="Arial" w:hAnsi="Arial"/>
        <w:sz w:val="16"/>
      </w:rPr>
    </w:pPr>
  </w:style>
  <w:style w:type="paragraph" w:styleId="1CStyle100">
    <w:name w:val="1CStyle100"/>
    <w:basedOn w:val="Normal"/>
    <w:pPr>
      <w:jc w:val="center"/>
      <w:rPr>
        <w:rFonts w:ascii="Arial" w:hAnsi="Arial"/>
        <w:sz w:val="16"/>
      </w:rPr>
    </w:pPr>
  </w:style>
  <w:style w:type="paragraph" w:styleId="1CStyle104">
    <w:name w:val="1CStyle104"/>
    <w:basedOn w:val="Normal"/>
    <w:pPr>
      <w:jc w:val="center"/>
      <w:rPr>
        <w:rFonts w:ascii="Arial" w:hAnsi="Arial"/>
        <w:sz w:val="16"/>
      </w:rPr>
    </w:pPr>
  </w:style>
  <w:style w:type="paragraph" w:styleId="1CStyle105">
    <w:name w:val="1CStyle105"/>
    <w:basedOn w:val="Normal"/>
    <w:pPr>
      <w:jc w:val="center"/>
      <w:rPr>
        <w:rFonts w:ascii="Arial" w:hAnsi="Arial"/>
        <w:sz w:val="16"/>
      </w:rPr>
    </w:pPr>
  </w:style>
  <w:style w:type="paragraph" w:styleId="1CStyle47">
    <w:name w:val="1CStyle47"/>
    <w:basedOn w:val="Normal"/>
    <w:pPr>
      <w:jc w:val="center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82">
    <w:name w:val="1CStyle82"/>
    <w:basedOn w:val="Normal"/>
    <w:pPr>
      <w:jc w:val="center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center"/>
      <w:rPr>
        <w:rFonts w:ascii="Arial" w:hAnsi="Arial"/>
        <w:sz w:val="16"/>
      </w:rPr>
    </w:pPr>
  </w:style>
  <w:style w:type="paragraph" w:styleId="1CStyle83">
    <w:name w:val="1CStyle83"/>
    <w:basedOn w:val="Normal"/>
    <w:pPr>
      <w:jc w:val="center"/>
      <w:rPr>
        <w:rFonts w:ascii="Arial" w:hAnsi="Arial"/>
        <w:sz w:val="16"/>
      </w:rPr>
    </w:pPr>
  </w:style>
  <w:style w:type="paragraph" w:styleId="1CStyle85">
    <w:name w:val="1CStyle85"/>
    <w:basedOn w:val="Normal"/>
    <w:pPr>
      <w:jc w:val="center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center"/>
      <w:rPr>
        <w:rFonts w:ascii="Arial" w:hAnsi="Arial"/>
        <w:sz w:val="16"/>
      </w:rPr>
    </w:pPr>
  </w:style>
  <w:style w:type="paragraph" w:styleId="1CStyle46">
    <w:name w:val="1CStyle46"/>
    <w:basedOn w:val="Normal"/>
    <w:pPr>
      <w:jc w:val="center"/>
      <w:rPr>
        <w:rFonts w:ascii="Arial" w:hAnsi="Arial"/>
        <w:sz w:val="16"/>
      </w:rPr>
    </w:pPr>
  </w:style>
  <w:style w:type="paragraph" w:styleId="1CStyle84">
    <w:name w:val="1CStyle84"/>
    <w:basedOn w:val="Normal"/>
    <w:pPr>
      <w:jc w:val="center"/>
      <w:rPr>
        <w:rFonts w:ascii="Arial" w:hAnsi="Arial"/>
        <w:sz w:val="16"/>
      </w:rPr>
    </w:pPr>
  </w:style>
  <w:style w:type="paragraph" w:styleId="1CStyle45">
    <w:name w:val="1CStyle45"/>
    <w:basedOn w:val="Normal"/>
    <w:pPr>
      <w:jc w:val="center"/>
      <w:rPr>
        <w:rFonts w:ascii="Arial" w:hAnsi="Arial"/>
        <w:sz w:val="16"/>
      </w:rPr>
    </w:pPr>
  </w:style>
  <w:style w:type="paragraph" w:styleId="1CStyle5">
    <w:name w:val="1CStyle5"/>
    <w:basedOn w:val="Normal"/>
    <w:pPr>
      <w:jc w:val="center"/>
      <w:rPr>
        <w:rFonts w:ascii="Arial" w:hAnsi="Arial"/>
        <w:sz w:val="16"/>
      </w:rPr>
    </w:pPr>
  </w:style>
  <w:style w:type="paragraph" w:styleId="1CStyle7">
    <w:name w:val="1CStyle7"/>
    <w:basedOn w:val="Normal"/>
    <w:pPr>
      <w:jc w:val="center"/>
      <w:rPr>
        <w:rFonts w:ascii="Arial" w:hAnsi="Arial"/>
        <w:sz w:val="16"/>
      </w:rPr>
    </w:pPr>
  </w:style>
  <w:style w:type="paragraph" w:styleId="1CStyle124">
    <w:name w:val="1CStyle124"/>
    <w:basedOn w:val="Normal"/>
    <w:pPr>
      <w:jc w:val="center"/>
      <w:rPr>
        <w:rFonts w:ascii="Arial" w:hAnsi="Arial"/>
        <w:sz w:val="16"/>
      </w:rPr>
    </w:pPr>
  </w:style>
  <w:style w:type="paragraph" w:styleId="1CStyle123">
    <w:name w:val="1CStyle123"/>
    <w:basedOn w:val="Normal"/>
    <w:pPr>
      <w:jc w:val="center"/>
      <w:rPr>
        <w:rFonts w:ascii="Arial" w:hAnsi="Arial"/>
        <w:sz w:val="16"/>
      </w:rPr>
    </w:pPr>
  </w:style>
  <w:style w:type="paragraph" w:styleId="1CStyle148">
    <w:name w:val="1CStyle148"/>
    <w:basedOn w:val="Normal"/>
    <w:pPr>
      <w:jc w:val="center"/>
      <w:rPr>
        <w:rFonts w:ascii="Arial" w:hAnsi="Arial"/>
        <w:sz w:val="16"/>
      </w:rPr>
    </w:pPr>
  </w:style>
  <w:style w:type="paragraph" w:styleId="1CStyle129">
    <w:name w:val="1CStyle129"/>
    <w:basedOn w:val="Normal"/>
    <w:pPr>
      <w:jc w:val="center"/>
      <w:rPr>
        <w:rFonts w:ascii="Arial" w:hAnsi="Arial"/>
        <w:sz w:val="16"/>
      </w:rPr>
    </w:pPr>
  </w:style>
  <w:style w:type="paragraph" w:styleId="1CStyle141">
    <w:name w:val="1CStyle141"/>
    <w:basedOn w:val="Normal"/>
    <w:pPr>
      <w:jc w:val="center"/>
      <w:rPr>
        <w:rFonts w:ascii="Arial" w:hAnsi="Arial"/>
        <w:sz w:val="16"/>
      </w:rPr>
    </w:pPr>
  </w:style>
  <w:style w:type="paragraph" w:styleId="1CStyle147">
    <w:name w:val="1CStyle147"/>
    <w:basedOn w:val="Normal"/>
    <w:pPr>
      <w:jc w:val="center"/>
      <w:rPr>
        <w:rFonts w:ascii="Arial" w:hAnsi="Arial"/>
        <w:sz w:val="16"/>
      </w:rPr>
    </w:pPr>
  </w:style>
  <w:style w:type="paragraph" w:styleId="1CStyle128">
    <w:name w:val="1CStyle128"/>
    <w:basedOn w:val="Normal"/>
    <w:pPr>
      <w:jc w:val="center"/>
      <w:rPr>
        <w:rFonts w:ascii="Arial" w:hAnsi="Arial"/>
        <w:sz w:val="16"/>
      </w:rPr>
    </w:pPr>
  </w:style>
  <w:style w:type="paragraph" w:styleId="1CStyle140">
    <w:name w:val="1CStyle140"/>
    <w:basedOn w:val="Normal"/>
    <w:pPr>
      <w:jc w:val="center"/>
      <w:rPr>
        <w:rFonts w:ascii="Arial" w:hAnsi="Arial"/>
        <w:sz w:val="16"/>
      </w:rPr>
    </w:pPr>
  </w:style>
  <w:style w:type="paragraph" w:styleId="1CStyle119">
    <w:name w:val="1CStyle119"/>
    <w:basedOn w:val="Normal"/>
    <w:pPr>
      <w:jc w:val="center"/>
      <w:rPr>
        <w:rFonts w:ascii="Arial" w:hAnsi="Arial"/>
        <w:sz w:val="16"/>
      </w:rPr>
    </w:pPr>
  </w:style>
  <w:style w:type="paragraph" w:styleId="1CStyle118">
    <w:name w:val="1CStyle118"/>
    <w:basedOn w:val="Normal"/>
    <w:pPr>
      <w:jc w:val="center"/>
      <w:rPr>
        <w:rFonts w:ascii="Arial" w:hAnsi="Arial"/>
        <w:sz w:val="16"/>
      </w:rPr>
    </w:pPr>
  </w:style>
  <w:style w:type="paragraph" w:styleId="1CStyle34">
    <w:name w:val="1CStyle34"/>
    <w:basedOn w:val="Normal"/>
    <w:pPr>
      <w:jc w:val="center"/>
      <w:rPr>
        <w:rFonts w:ascii="Arial" w:hAnsi="Arial"/>
        <w:sz w:val="14"/>
      </w:rPr>
    </w:pPr>
  </w:style>
  <w:style w:type="paragraph" w:styleId="1CStyle69">
    <w:name w:val="1CStyle69"/>
    <w:basedOn w:val="Normal"/>
    <w:pPr>
      <w:jc w:val="center"/>
      <w:rPr>
        <w:rFonts w:ascii="Arial" w:hAnsi="Arial"/>
        <w:sz w:val="14"/>
      </w:rPr>
    </w:pPr>
  </w:style>
  <w:style w:type="paragraph" w:styleId="1CStyle33">
    <w:name w:val="1CStyle33"/>
    <w:basedOn w:val="Normal"/>
    <w:pPr>
      <w:jc w:val="center"/>
      <w:rPr>
        <w:rFonts w:ascii="Arial" w:hAnsi="Arial"/>
        <w:sz w:val="14"/>
      </w:rPr>
    </w:pPr>
  </w:style>
  <w:style w:type="paragraph" w:styleId="1CStyle68">
    <w:name w:val="1CStyle68"/>
    <w:basedOn w:val="Normal"/>
    <w:pPr>
      <w:jc w:val="center"/>
      <w:rPr>
        <w:rFonts w:ascii="Arial" w:hAnsi="Arial"/>
        <w:sz w:val="14"/>
      </w:rPr>
    </w:pPr>
  </w:style>
  <w:style w:type="paragraph" w:styleId="1CStyle35">
    <w:name w:val="1CStyle35"/>
    <w:basedOn w:val="Normal"/>
    <w:pPr>
      <w:jc w:val="center"/>
      <w:rPr>
        <w:rFonts w:ascii="Arial" w:hAnsi="Arial"/>
        <w:sz w:val="14"/>
      </w:rPr>
    </w:pPr>
  </w:style>
  <w:style w:type="paragraph" w:styleId="1CStyle70">
    <w:name w:val="1CStyle70"/>
    <w:basedOn w:val="Normal"/>
    <w:pPr>
      <w:jc w:val="center"/>
      <w:rPr>
        <w:rFonts w:ascii="Arial" w:hAnsi="Arial"/>
        <w:sz w:val="14"/>
      </w:rPr>
    </w:pPr>
  </w:style>
  <w:style w:type="paragraph" w:styleId="1CStyle10">
    <w:name w:val="1CStyle10"/>
    <w:basedOn w:val="Normal"/>
    <w:pPr>
      <w:jc w:val="center"/>
      <w:rPr>
        <w:rFonts w:ascii="Arial" w:hAnsi="Arial"/>
        <w:sz w:val="16"/>
      </w:rPr>
    </w:pPr>
  </w:style>
  <w:style w:type="paragraph" w:styleId="1CStyle36">
    <w:name w:val="1CStyle36"/>
    <w:basedOn w:val="Normal"/>
    <w:pPr>
      <w:jc w:val="center"/>
      <w:rPr>
        <w:rFonts w:ascii="Arial" w:hAnsi="Arial"/>
        <w:sz w:val="14"/>
      </w:rPr>
    </w:pPr>
  </w:style>
  <w:style w:type="paragraph" w:styleId="1CStyle38">
    <w:name w:val="1CStyle38"/>
    <w:basedOn w:val="Normal"/>
    <w:pPr>
      <w:jc w:val="center"/>
      <w:rPr>
        <w:rFonts w:ascii="Arial" w:hAnsi="Arial"/>
        <w:sz w:val="14"/>
      </w:rPr>
    </w:pPr>
  </w:style>
  <w:style w:type="paragraph" w:styleId="1CStyle71">
    <w:name w:val="1CStyle71"/>
    <w:basedOn w:val="Normal"/>
    <w:pPr>
      <w:jc w:val="center"/>
      <w:rPr>
        <w:rFonts w:ascii="Arial" w:hAnsi="Arial"/>
        <w:sz w:val="14"/>
      </w:rPr>
    </w:pPr>
  </w:style>
  <w:style w:type="paragraph" w:styleId="1CStyle37">
    <w:name w:val="1CStyle37"/>
    <w:basedOn w:val="Normal"/>
    <w:pPr>
      <w:jc w:val="center"/>
      <w:rPr>
        <w:rFonts w:ascii="Arial" w:hAnsi="Arial"/>
        <w:sz w:val="14"/>
      </w:rPr>
    </w:pPr>
  </w:style>
  <w:style w:type="paragraph" w:styleId="1CStyle72">
    <w:name w:val="1CStyle72"/>
    <w:basedOn w:val="Normal"/>
    <w:pPr>
      <w:jc w:val="center"/>
      <w:rPr>
        <w:rFonts w:ascii="Arial" w:hAnsi="Arial"/>
        <w:sz w:val="14"/>
      </w:rPr>
    </w:pPr>
  </w:style>
  <w:style w:type="paragraph" w:styleId="1CStyle6">
    <w:name w:val="1CStyle6"/>
    <w:basedOn w:val="Normal"/>
    <w:pPr>
      <w:jc w:val="center"/>
      <w:rPr>
        <w:rFonts w:ascii="Arial" w:hAnsi="Arial"/>
        <w:sz w:val="16"/>
      </w:rPr>
    </w:pPr>
  </w:style>
  <w:style w:type="paragraph" w:styleId="1CStyle103">
    <w:name w:val="1CStyle103"/>
    <w:basedOn w:val="Normal"/>
    <w:pPr>
      <w:jc w:val="center"/>
      <w:rPr>
        <w:rFonts w:ascii="Arial" w:hAnsi="Arial"/>
        <w:sz w:val="16"/>
      </w:rPr>
    </w:pPr>
  </w:style>
  <w:style w:type="paragraph" w:styleId="1CStyle102">
    <w:name w:val="1CStyle102"/>
    <w:basedOn w:val="Normal"/>
    <w:pPr>
      <w:jc w:val="center"/>
      <w:rPr>
        <w:rFonts w:ascii="Arial" w:hAnsi="Arial"/>
        <w:sz w:val="16"/>
      </w:rPr>
    </w:pPr>
  </w:style>
  <w:style w:type="paragraph" w:styleId="1CStyle113">
    <w:name w:val="1CStyle113"/>
    <w:basedOn w:val="Normal"/>
    <w:pPr>
      <w:jc w:val="center"/>
      <w:rPr>
        <w:rFonts w:ascii="Arial" w:hAnsi="Arial"/>
        <w:sz w:val="16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sz w:val="16"/>
      </w:rPr>
    </w:pPr>
  </w:style>
  <w:style w:type="paragraph" w:styleId="1CStyle97">
    <w:name w:val="1CStyle97"/>
    <w:basedOn w:val="Normal"/>
    <w:pPr>
      <w:jc w:val="center"/>
      <w:rPr>
        <w:rFonts w:ascii="Arial" w:hAnsi="Arial"/>
        <w:sz w:val="16"/>
      </w:rPr>
    </w:pPr>
  </w:style>
  <w:style w:type="paragraph" w:styleId="1CStyle112">
    <w:name w:val="1CStyle112"/>
    <w:basedOn w:val="Normal"/>
    <w:pPr>
      <w:jc w:val="center"/>
      <w:rPr>
        <w:rFonts w:ascii="Arial" w:hAnsi="Arial"/>
        <w:sz w:val="16"/>
      </w:rPr>
    </w:pPr>
  </w:style>
  <w:style w:type="paragraph" w:styleId="1CStyle107">
    <w:name w:val="1CStyle107"/>
    <w:basedOn w:val="Normal"/>
    <w:pPr>
      <w:jc w:val="center"/>
      <w:rPr>
        <w:rFonts w:ascii="Arial" w:hAnsi="Arial"/>
        <w:sz w:val="16"/>
      </w:rPr>
    </w:pPr>
  </w:style>
  <w:style w:type="paragraph" w:styleId="1CStyle96">
    <w:name w:val="1CStyle96"/>
    <w:basedOn w:val="Normal"/>
    <w:pPr>
      <w:jc w:val="center"/>
      <w:rPr>
        <w:rFonts w:ascii="Arial" w:hAnsi="Arial"/>
        <w:sz w:val="16"/>
      </w:rPr>
    </w:pPr>
  </w:style>
  <w:style w:type="paragraph" w:styleId="1CStyle80">
    <w:name w:val="1CStyle80"/>
    <w:basedOn w:val="Normal"/>
    <w:pPr>
      <w:jc w:val="center"/>
      <w:rPr>
        <w:rFonts w:ascii="Arial" w:hAnsi="Arial"/>
        <w:sz w:val="16"/>
      </w:rPr>
    </w:pPr>
  </w:style>
  <w:style w:type="paragraph" w:styleId="1CStyle61">
    <w:name w:val="1CStyle61"/>
    <w:basedOn w:val="Normal"/>
    <w:pPr>
      <w:jc w:val="center"/>
      <w:rPr>
        <w:rFonts w:ascii="Arial" w:hAnsi="Arial"/>
        <w:sz w:val="16"/>
      </w:rPr>
    </w:pPr>
  </w:style>
  <w:style w:type="paragraph" w:styleId="1CStyle49">
    <w:name w:val="1CStyle49"/>
    <w:basedOn w:val="Normal"/>
    <w:pPr>
      <w:jc w:val="center"/>
      <w:rPr>
        <w:rFonts w:ascii="Arial" w:hAnsi="Arial"/>
        <w:sz w:val="16"/>
      </w:rPr>
    </w:pPr>
  </w:style>
  <w:style w:type="paragraph" w:styleId="1CStyle87">
    <w:name w:val="1CStyle87"/>
    <w:basedOn w:val="Normal"/>
    <w:pPr>
      <w:jc w:val="center"/>
      <w:rPr>
        <w:rFonts w:ascii="Arial" w:hAnsi="Arial"/>
        <w:sz w:val="16"/>
      </w:rPr>
    </w:pPr>
  </w:style>
  <w:style w:type="paragraph" w:styleId="1CStyle73">
    <w:name w:val="1CStyle73"/>
    <w:basedOn w:val="Normal"/>
    <w:pPr>
      <w:jc w:val="center"/>
      <w:rPr>
        <w:rFonts w:ascii="Arial" w:hAnsi="Arial"/>
        <w:sz w:val="16"/>
      </w:rPr>
    </w:pPr>
  </w:style>
  <w:style w:type="paragraph" w:styleId="1CStyle81">
    <w:name w:val="1CStyle81"/>
    <w:basedOn w:val="Normal"/>
    <w:pPr>
      <w:jc w:val="center"/>
      <w:rPr>
        <w:rFonts w:ascii="Arial" w:hAnsi="Arial"/>
        <w:sz w:val="16"/>
      </w:rPr>
    </w:pPr>
  </w:style>
  <w:style w:type="paragraph" w:styleId="1CStyle62">
    <w:name w:val="1CStyle62"/>
    <w:basedOn w:val="Normal"/>
    <w:pPr>
      <w:jc w:val="center"/>
      <w:rPr>
        <w:rFonts w:ascii="Arial" w:hAnsi="Arial"/>
        <w:sz w:val="16"/>
      </w:rPr>
    </w:pPr>
  </w:style>
  <w:style w:type="paragraph" w:styleId="1CStyle50">
    <w:name w:val="1CStyle50"/>
    <w:basedOn w:val="Normal"/>
    <w:pPr>
      <w:jc w:val="center"/>
      <w:rPr>
        <w:rFonts w:ascii="Arial" w:hAnsi="Arial"/>
        <w:sz w:val="16"/>
      </w:rPr>
    </w:pPr>
  </w:style>
  <w:style w:type="paragraph" w:styleId="1CStyle88">
    <w:name w:val="1CStyle88"/>
    <w:basedOn w:val="Normal"/>
    <w:pPr>
      <w:jc w:val="center"/>
      <w:rPr>
        <w:rFonts w:ascii="Arial" w:hAnsi="Arial"/>
        <w:sz w:val="16"/>
      </w:rPr>
    </w:pPr>
  </w:style>
  <w:style w:type="paragraph" w:styleId="1CStyle74">
    <w:name w:val="1CStyle74"/>
    <w:basedOn w:val="Normal"/>
    <w:pPr>
      <w:jc w:val="center"/>
      <w:rPr>
        <w:rFonts w:ascii="Arial" w:hAnsi="Arial"/>
        <w:sz w:val="16"/>
      </w:rPr>
    </w:pPr>
  </w:style>
  <w:style w:type="paragraph" w:styleId="1CStyle64">
    <w:name w:val="1CStyle64"/>
    <w:basedOn w:val="Normal"/>
    <w:pPr>
      <w:jc w:val="center"/>
      <w:rPr>
        <w:rFonts w:ascii="Arial" w:hAnsi="Arial"/>
        <w:sz w:val="16"/>
      </w:rPr>
    </w:pPr>
  </w:style>
  <w:style w:type="paragraph" w:styleId="1CStyle60">
    <w:name w:val="1CStyle60"/>
    <w:basedOn w:val="Normal"/>
    <w:pPr>
      <w:jc w:val="center"/>
      <w:rPr>
        <w:rFonts w:ascii="Arial" w:hAnsi="Arial"/>
        <w:sz w:val="16"/>
      </w:rPr>
    </w:pPr>
  </w:style>
  <w:style w:type="paragraph" w:styleId="1CStyle76">
    <w:name w:val="1CStyle76"/>
    <w:basedOn w:val="Normal"/>
    <w:pPr>
      <w:jc w:val="center"/>
      <w:rPr>
        <w:rFonts w:ascii="Arial" w:hAnsi="Arial"/>
        <w:sz w:val="16"/>
      </w:rPr>
    </w:pPr>
  </w:style>
  <w:style w:type="paragraph" w:styleId="1CStyle145">
    <w:name w:val="1CStyle145"/>
    <w:basedOn w:val="Normal"/>
    <w:pPr>
      <w:jc w:val="center"/>
      <w:rPr>
        <w:rFonts w:ascii="Arial" w:hAnsi="Arial"/>
        <w:b/>
        <w:sz w:val="16"/>
      </w:rPr>
    </w:pPr>
  </w:style>
  <w:style w:type="paragraph" w:styleId="1CStyle18">
    <w:name w:val="1CStyle18"/>
    <w:basedOn w:val="Normal"/>
    <w:pPr>
      <w:jc w:val="center"/>
      <w:rPr>
        <w:rFonts w:ascii="Arial" w:hAnsi="Arial"/>
        <w:sz w:val="16"/>
      </w:rPr>
    </w:pPr>
  </w:style>
  <w:style w:type="paragraph" w:styleId="1CStyle19">
    <w:name w:val="1CStyle19"/>
    <w:basedOn w:val="Normal"/>
    <w:pPr>
      <w:jc w:val="center"/>
      <w:rPr>
        <w:rFonts w:ascii="Arial" w:hAnsi="Arial"/>
        <w:sz w:val="16"/>
      </w:rPr>
    </w:pPr>
  </w:style>
  <w:style w:type="paragraph" w:styleId="1CStyle111">
    <w:name w:val="1CStyle111"/>
    <w:basedOn w:val="Normal"/>
    <w:pPr>
      <w:jc w:val="center"/>
      <w:rPr>
        <w:rFonts w:ascii="Arial" w:hAnsi="Arial"/>
        <w:b/>
        <w:sz w:val="16"/>
      </w:rPr>
    </w:pPr>
  </w:style>
  <w:style w:type="paragraph" w:styleId="1CStyle95">
    <w:name w:val="1CStyle95"/>
    <w:basedOn w:val="Normal"/>
    <w:pPr>
      <w:jc w:val="center"/>
      <w:rPr>
        <w:rFonts w:ascii="Arial" w:hAnsi="Arial"/>
        <w:b/>
        <w:sz w:val="16"/>
      </w:rPr>
    </w:pPr>
  </w:style>
  <w:style w:type="paragraph" w:styleId="1CStyle20">
    <w:name w:val="1CStyle20"/>
    <w:basedOn w:val="Normal"/>
    <w:pPr>
      <w:jc w:val="center"/>
      <w:rPr>
        <w:rFonts w:ascii="Arial" w:hAnsi="Arial"/>
        <w:sz w:val="14"/>
      </w:rPr>
    </w:pPr>
  </w:style>
  <w:style w:type="paragraph" w:styleId="1CStyle21">
    <w:name w:val="1CStyle21"/>
    <w:basedOn w:val="Normal"/>
    <w:pPr>
      <w:jc w:val="center"/>
      <w:rPr>
        <w:rFonts w:ascii="Arial" w:hAnsi="Arial"/>
        <w:sz w:val="14"/>
      </w:rPr>
    </w:pPr>
  </w:style>
  <w:style w:type="paragraph" w:styleId="1CStyle22">
    <w:name w:val="1CStyle22"/>
    <w:basedOn w:val="Normal"/>
    <w:pPr>
      <w:jc w:val="center"/>
      <w:rPr>
        <w:rFonts w:ascii="Arial" w:hAnsi="Arial"/>
        <w:sz w:val="14"/>
      </w:rPr>
    </w:pPr>
  </w:style>
  <w:style w:type="paragraph" w:styleId="1CStyle117">
    <w:name w:val="1CStyle117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39">
    <w:name w:val="1CStyle13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6">
    <w:name w:val="1CStyle1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1">
    <w:name w:val="1CStyle11"/>
    <w:basedOn w:val="Normal"/>
    <w:pPr>
      <w:jc w:val="center"/>
      <w:rPr>
        <w:rFonts w:ascii="Arial" w:hAnsi="Arial"/>
        <w:b/>
        <w:sz w:val="18"/>
      </w:rPr>
    </w:pPr>
  </w:style>
  <w:style w:type="paragraph" w:styleId="1CStyle23">
    <w:name w:val="1CStyle23"/>
    <w:basedOn w:val="Normal"/>
    <w:pPr>
      <w:jc w:val="center"/>
      <w:rPr>
        <w:rFonts w:ascii="Arial" w:hAnsi="Arial"/>
        <w:b/>
        <w:sz w:val="20"/>
      </w:rPr>
    </w:pPr>
  </w:style>
  <w:style w:type="paragraph" w:styleId="1CStyle31">
    <w:name w:val="1CStyle31"/>
    <w:basedOn w:val="Normal"/>
    <w:pPr>
      <w:jc w:val="center"/>
      <w:rPr>
        <w:rFonts w:ascii="Arial" w:hAnsi="Arial"/>
        <w:sz w:val="16"/>
      </w:rPr>
    </w:pPr>
  </w:style>
  <w:style w:type="paragraph" w:styleId="1CStyle24">
    <w:name w:val="1CStyle24"/>
    <w:basedOn w:val="Normal"/>
    <w:pPr>
      <w:jc w:val="center"/>
      <w:rPr>
        <w:rFonts w:ascii="Arial" w:hAnsi="Arial"/>
        <w:sz w:val="16"/>
      </w:rPr>
    </w:pPr>
  </w:style>
  <w:style w:type="paragraph" w:styleId="1CStyle89">
    <w:name w:val="1CStyle89"/>
    <w:basedOn w:val="Normal"/>
    <w:pPr>
      <w:jc w:val="center"/>
      <w:rPr>
        <w:rFonts w:ascii="Arial" w:hAnsi="Arial"/>
        <w:b/>
        <w:sz w:val="20"/>
      </w:rPr>
    </w:pPr>
  </w:style>
  <w:style w:type="paragraph" w:styleId="1CStyle25">
    <w:name w:val="1CStyle25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1">
    <w:name w:val="1CStyle91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2">
    <w:name w:val="1CStyle92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4">
    <w:name w:val="1CStyle94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3">
    <w:name w:val="1CStyle93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7">
    <w:name w:val="1CStyle1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8">
    <w:name w:val="1CStyle8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26">
    <w:name w:val="1CStyle2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7">
    <w:name w:val="1CStyle2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9">
    <w:name w:val="1CStyle29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8">
    <w:name w:val="1CStyle2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49">
    <w:name w:val="1CStyle149"/>
    <w:basedOn w:val="Normal"/>
    <w:pPr>
      <w:jc w:val="right"/>
      <w:rPr>
        <w:rFonts w:ascii="Arial" w:hAnsi="Arial"/>
        <w:sz w:val="16"/>
      </w:rPr>
    </w:pPr>
  </w:style>
  <w:style w:type="paragraph" w:styleId="1CStyle130">
    <w:name w:val="1CStyle130"/>
    <w:basedOn w:val="Normal"/>
    <w:pPr>
      <w:jc w:val="right"/>
      <w:rPr>
        <w:rFonts w:ascii="Arial" w:hAnsi="Arial"/>
        <w:sz w:val="16"/>
      </w:rPr>
    </w:pPr>
  </w:style>
  <w:style w:type="paragraph" w:styleId="1CStyle142">
    <w:name w:val="1CStyle142"/>
    <w:basedOn w:val="Normal"/>
    <w:pPr>
      <w:jc w:val="right"/>
      <w:rPr>
        <w:rFonts w:ascii="Arial" w:hAnsi="Arial"/>
        <w:sz w:val="16"/>
      </w:rPr>
    </w:pPr>
  </w:style>
  <w:style w:type="paragraph" w:styleId="1CStyle120">
    <w:name w:val="1CStyle120"/>
    <w:basedOn w:val="Normal"/>
    <w:pPr>
      <w:jc w:val="right"/>
      <w:rPr>
        <w:rFonts w:ascii="Arial" w:hAnsi="Arial"/>
        <w:sz w:val="16"/>
      </w:rPr>
    </w:pPr>
  </w:style>
  <w:style w:type="paragraph" w:styleId="1CStyle150">
    <w:name w:val="1CStyle150"/>
    <w:basedOn w:val="Normal"/>
    <w:pPr>
      <w:jc w:val="right"/>
      <w:rPr>
        <w:rFonts w:ascii="Arial" w:hAnsi="Arial"/>
        <w:sz w:val="16"/>
      </w:rPr>
    </w:pPr>
  </w:style>
  <w:style w:type="paragraph" w:styleId="1CStyle131">
    <w:name w:val="1CStyle131"/>
    <w:basedOn w:val="Normal"/>
    <w:pPr>
      <w:jc w:val="right"/>
      <w:rPr>
        <w:rFonts w:ascii="Arial" w:hAnsi="Arial"/>
        <w:sz w:val="16"/>
      </w:rPr>
    </w:pPr>
  </w:style>
  <w:style w:type="paragraph" w:styleId="1CStyle143">
    <w:name w:val="1CStyle143"/>
    <w:basedOn w:val="Normal"/>
    <w:pPr>
      <w:jc w:val="right"/>
      <w:rPr>
        <w:rFonts w:ascii="Arial" w:hAnsi="Arial"/>
        <w:sz w:val="16"/>
      </w:rPr>
    </w:pPr>
  </w:style>
  <w:style w:type="paragraph" w:styleId="1CStyle121">
    <w:name w:val="1CStyle121"/>
    <w:basedOn w:val="Normal"/>
    <w:pPr>
      <w:jc w:val="right"/>
      <w:rPr>
        <w:rFonts w:ascii="Arial" w:hAnsi="Arial"/>
        <w:sz w:val="16"/>
      </w:rPr>
    </w:pPr>
  </w:style>
  <w:style w:type="paragraph" w:styleId="1CStyle114">
    <w:name w:val="1CStyle114"/>
    <w:basedOn w:val="Normal"/>
    <w:pPr>
      <w:jc w:val="right"/>
      <w:rPr>
        <w:rFonts w:ascii="Arial" w:hAnsi="Arial"/>
        <w:sz w:val="16"/>
      </w:rPr>
    </w:pPr>
  </w:style>
  <w:style w:type="paragraph" w:styleId="1CStyle109">
    <w:name w:val="1CStyle109"/>
    <w:basedOn w:val="Normal"/>
    <w:pPr>
      <w:jc w:val="right"/>
      <w:rPr>
        <w:rFonts w:ascii="Arial" w:hAnsi="Arial"/>
        <w:sz w:val="16"/>
      </w:rPr>
    </w:pPr>
  </w:style>
  <w:style w:type="paragraph" w:styleId="1CStyle98">
    <w:name w:val="1CStyle98"/>
    <w:basedOn w:val="Normal"/>
    <w:pPr>
      <w:jc w:val="right"/>
      <w:rPr>
        <w:rFonts w:ascii="Arial" w:hAnsi="Arial"/>
        <w:sz w:val="16"/>
      </w:rPr>
    </w:pPr>
  </w:style>
  <w:style w:type="paragraph" w:styleId="1CStyle115">
    <w:name w:val="1CStyle115"/>
    <w:basedOn w:val="Normal"/>
    <w:pPr>
      <w:jc w:val="right"/>
      <w:rPr>
        <w:rFonts w:ascii="Arial" w:hAnsi="Arial"/>
        <w:sz w:val="16"/>
      </w:rPr>
    </w:pPr>
  </w:style>
  <w:style w:type="paragraph" w:styleId="1CStyle110">
    <w:name w:val="1CStyle110"/>
    <w:basedOn w:val="Normal"/>
    <w:pPr>
      <w:jc w:val="right"/>
      <w:rPr>
        <w:rFonts w:ascii="Arial" w:hAnsi="Arial"/>
        <w:sz w:val="16"/>
      </w:rPr>
    </w:pPr>
  </w:style>
  <w:style w:type="paragraph" w:styleId="1CStyle99">
    <w:name w:val="1CStyle99"/>
    <w:basedOn w:val="Normal"/>
    <w:pPr>
      <w:jc w:val="right"/>
      <w:rPr>
        <w:rFonts w:ascii="Arial" w:hAnsi="Arial"/>
        <w:sz w:val="16"/>
      </w:rPr>
    </w:pPr>
  </w:style>
  <w:style w:type="paragraph" w:styleId="1CStyle51">
    <w:name w:val="1CStyle51"/>
    <w:basedOn w:val="Normal"/>
    <w:pPr>
      <w:jc w:val="right"/>
      <w:rPr>
        <w:rFonts w:ascii="Arial" w:hAnsi="Arial"/>
        <w:sz w:val="16"/>
      </w:rPr>
    </w:pPr>
  </w:style>
  <w:style w:type="paragraph" w:styleId="1CStyle52">
    <w:name w:val="1CStyle52"/>
    <w:basedOn w:val="Normal"/>
    <w:pPr>
      <w:jc w:val="right"/>
      <w:rPr>
        <w:rFonts w:ascii="Arial" w:hAnsi="Arial"/>
        <w:sz w:val="16"/>
      </w:rPr>
    </w:pPr>
  </w:style>
  <w:style w:type="paragraph" w:styleId="1CStyle66">
    <w:name w:val="1CStyle66"/>
    <w:basedOn w:val="Normal"/>
    <w:pPr>
      <w:jc w:val="right"/>
      <w:rPr>
        <w:rFonts w:ascii="Arial" w:hAnsi="Arial"/>
        <w:sz w:val="16"/>
      </w:rPr>
    </w:pPr>
  </w:style>
  <w:style w:type="paragraph" w:styleId="1CStyle54">
    <w:name w:val="1CStyle54"/>
    <w:basedOn w:val="Normal"/>
    <w:pPr>
      <w:jc w:val="right"/>
      <w:rPr>
        <w:rFonts w:ascii="Arial" w:hAnsi="Arial"/>
        <w:sz w:val="16"/>
      </w:rPr>
    </w:pPr>
  </w:style>
  <w:style w:type="paragraph" w:styleId="1CStyle78">
    <w:name w:val="1CStyle78"/>
    <w:basedOn w:val="Normal"/>
    <w:pPr>
      <w:jc w:val="right"/>
      <w:rPr>
        <w:rFonts w:ascii="Arial" w:hAnsi="Arial"/>
        <w:sz w:val="16"/>
      </w:rPr>
    </w:pPr>
  </w:style>
  <w:style w:type="paragraph" w:styleId="1CStyle53">
    <w:name w:val="1CStyle53"/>
    <w:basedOn w:val="Normal"/>
    <w:pPr>
      <w:jc w:val="right"/>
      <w:rPr>
        <w:rFonts w:ascii="Arial" w:hAnsi="Arial"/>
        <w:sz w:val="16"/>
      </w:rPr>
    </w:pPr>
  </w:style>
  <w:style w:type="paragraph" w:styleId="1CStyle63">
    <w:name w:val="1CStyle63"/>
    <w:basedOn w:val="Normal"/>
    <w:pPr>
      <w:jc w:val="right"/>
      <w:rPr>
        <w:rFonts w:ascii="Arial" w:hAnsi="Arial"/>
        <w:sz w:val="16"/>
      </w:rPr>
    </w:pPr>
  </w:style>
  <w:style w:type="paragraph" w:styleId="1CStyle56">
    <w:name w:val="1CStyle56"/>
    <w:basedOn w:val="Normal"/>
    <w:pPr>
      <w:jc w:val="right"/>
      <w:rPr>
        <w:rFonts w:ascii="Arial" w:hAnsi="Arial"/>
        <w:sz w:val="16"/>
      </w:rPr>
    </w:pPr>
  </w:style>
  <w:style w:type="paragraph" w:styleId="1CStyle75">
    <w:name w:val="1CStyle75"/>
    <w:basedOn w:val="Normal"/>
    <w:pPr>
      <w:jc w:val="right"/>
      <w:rPr>
        <w:rFonts w:ascii="Arial" w:hAnsi="Arial"/>
        <w:sz w:val="16"/>
      </w:rPr>
    </w:pPr>
  </w:style>
  <w:style w:type="paragraph" w:styleId="1CStyle86">
    <w:name w:val="1CStyle86"/>
    <w:basedOn w:val="Normal"/>
    <w:pPr>
      <w:jc w:val="right"/>
      <w:rPr>
        <w:rFonts w:ascii="Arial" w:hAnsi="Arial"/>
        <w:sz w:val="16"/>
      </w:rPr>
    </w:pPr>
  </w:style>
  <w:style w:type="paragraph" w:styleId="1CStyle57">
    <w:name w:val="1CStyle57"/>
    <w:basedOn w:val="Normal"/>
    <w:pPr>
      <w:jc w:val="right"/>
      <w:rPr>
        <w:rFonts w:ascii="Arial" w:hAnsi="Arial"/>
        <w:sz w:val="16"/>
      </w:rPr>
    </w:pPr>
  </w:style>
  <w:style w:type="paragraph" w:styleId="1CStyle65">
    <w:name w:val="1CStyle65"/>
    <w:basedOn w:val="Normal"/>
    <w:pPr>
      <w:jc w:val="right"/>
      <w:rPr>
        <w:rFonts w:ascii="Arial" w:hAnsi="Arial"/>
        <w:sz w:val="16"/>
      </w:rPr>
    </w:pPr>
  </w:style>
  <w:style w:type="paragraph" w:styleId="1CStyle58">
    <w:name w:val="1CStyle58"/>
    <w:basedOn w:val="Normal"/>
    <w:pPr>
      <w:jc w:val="right"/>
      <w:rPr>
        <w:rFonts w:ascii="Arial" w:hAnsi="Arial"/>
        <w:sz w:val="16"/>
      </w:rPr>
    </w:pPr>
  </w:style>
  <w:style w:type="paragraph" w:styleId="1CStyle77">
    <w:name w:val="1CStyle77"/>
    <w:basedOn w:val="Normal"/>
    <w:pPr>
      <w:jc w:val="right"/>
      <w:rPr>
        <w:rFonts w:ascii="Arial" w:hAnsi="Arial"/>
        <w:sz w:val="16"/>
      </w:rPr>
    </w:pPr>
  </w:style>
  <w:style w:type="paragraph" w:styleId="1CStyle144">
    <w:name w:val="1CStyle144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137">
    <w:name w:val="1CStyle137"/>
    <w:basedOn w:val="Normal"/>
    <w:pPr>
      <w:ind w:left="60"/>
      <w:jc w:val="center"/>
      <w:rPr>
        <w:rFonts w:ascii="Arial" w:hAnsi="Arial"/>
        <w:sz w:val="16"/>
      </w:rPr>
    </w:pPr>
  </w:style>
  <w:style w:type="paragraph" w:styleId="1CStyle101">
    <w:name w:val="1CStyle101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9">
    <w:name w:val="1CStyle9"/>
    <w:basedOn w:val="Normal"/>
    <w:pPr>
      <w:ind w:left="20"/>
      <w:jc w:val="right"/>
      <w:rPr>
        <w:rFonts w:ascii="Arial" w:hAnsi="Arial"/>
        <w:sz w:val="16"/>
      </w:rPr>
    </w:pPr>
  </w:style>
  <w:style w:type="paragraph" w:styleId="1CStyle122">
    <w:name w:val="1CStyle122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132">
    <w:name w:val="1CStyle132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36">
    <w:name w:val="1CStyle136"/>
    <w:basedOn w:val="Normal"/>
    <w:pPr>
      <w:ind w:left="20"/>
      <w:jc w:val="center"/>
      <w:rPr>
        <w:rFonts w:ascii="Arial" w:hAnsi="Arial"/>
        <w:sz w:val="16"/>
      </w:rPr>
    </w:pPr>
  </w:style>
  <w:style w:type="paragraph" w:styleId="1CStyle138">
    <w:name w:val="1CStyle138"/>
    <w:basedOn w:val="Normal"/>
    <w:pPr>
      <w:ind w:left="60"/>
      <w:jc w:val="center"/>
      <w:rPr>
        <w:rFonts w:ascii="Arial" w:hAnsi="Arial"/>
        <w:sz w:val="16"/>
      </w:rPr>
    </w:pPr>
  </w:style>
  <w:style w:type="paragraph" w:styleId="1CStyle106">
    <w:name w:val="1CStyle106"/>
    <w:basedOn w:val="Normal"/>
    <w:pPr>
      <w:ind w:left="40"/>
      <w:jc w:val="center"/>
      <w:rPr>
        <w:rFonts w:ascii="Arial" w:hAnsi="Arial"/>
        <w:sz w:val="16"/>
      </w:rPr>
    </w:pPr>
  </w:style>
  <w:style w:type="paragraph" w:styleId="1CStyle146">
    <w:name w:val="1CStyle146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27">
    <w:name w:val="1CStyle127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133">
    <w:name w:val="1CStyle133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35">
    <w:name w:val="1CStyle135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32">
    <w:name w:val="1CStyle32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67">
    <w:name w:val="1CStyle67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79">
    <w:name w:val="1CStyle7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40">
    <w:name w:val="1CStyle4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30">
    <w:name w:val="1CStyle3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16">
    <w:name w:val="1CStyle116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55">
    <w:name w:val="1CStyle55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59">
    <w:name w:val="1CStyle5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48">
    <w:name w:val="1CStyle48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34">
    <w:name w:val="1CStyle134"/>
    <w:basedOn w:val="Normal"/>
    <w:pPr>
      <w:wordWrap w:val="1"/>
      <w:ind w:left="2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